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auto"/>
          <w:lang w:val="lv-LV"/>
        </w:rPr>
        <w:id w:val="-388415555"/>
        <w:docPartObj>
          <w:docPartGallery w:val="Cover Pages"/>
          <w:docPartUnique/>
        </w:docPartObj>
      </w:sdtPr>
      <w:sdtEndPr/>
      <w:sdtContent>
        <w:p w:rsidR="0096798B" w:rsidRPr="00580E74" w:rsidRDefault="005A7E8D" w:rsidP="0096798B">
          <w:pPr>
            <w:rPr>
              <w:color w:val="auto"/>
              <w:lang w:val="lv-LV"/>
            </w:rPr>
          </w:pPr>
          <w:r w:rsidRPr="00E17487">
            <w:rPr>
              <w:noProof/>
              <w:lang w:val="lv-LV" w:eastAsia="lv-LV"/>
            </w:rPr>
            <w:drawing>
              <wp:anchor distT="0" distB="0" distL="114300" distR="114300" simplePos="0" relativeHeight="251680768" behindDoc="0" locked="0" layoutInCell="1" allowOverlap="1">
                <wp:simplePos x="0" y="0"/>
                <wp:positionH relativeFrom="margin">
                  <wp:align>center</wp:align>
                </wp:positionH>
                <wp:positionV relativeFrom="paragraph">
                  <wp:posOffset>104775</wp:posOffset>
                </wp:positionV>
                <wp:extent cx="1771650" cy="1771650"/>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98B" w:rsidRPr="00580E74" w:rsidRDefault="0080637A" w:rsidP="00990E0F">
          <w:pPr>
            <w:pStyle w:val="Logo"/>
            <w:jc w:val="center"/>
            <w:rPr>
              <w:color w:val="auto"/>
              <w:lang w:val="lv-LV"/>
            </w:rPr>
          </w:pPr>
          <w:r w:rsidRPr="00580E74">
            <w:rPr>
              <w:noProof/>
              <w:color w:val="auto"/>
              <w:lang w:val="lv-LV" w:eastAsia="lv-LV"/>
            </w:rPr>
            <mc:AlternateContent>
              <mc:Choice Requires="wps">
                <w:drawing>
                  <wp:anchor distT="0" distB="0" distL="114300" distR="114300" simplePos="0" relativeHeight="251678720" behindDoc="0" locked="0" layoutInCell="1" allowOverlap="1" wp14:anchorId="5E148628" wp14:editId="546B85B2">
                    <wp:simplePos x="0" y="0"/>
                    <wp:positionH relativeFrom="margin">
                      <wp:posOffset>-635</wp:posOffset>
                    </wp:positionH>
                    <wp:positionV relativeFrom="margin">
                      <wp:posOffset>4219575</wp:posOffset>
                    </wp:positionV>
                    <wp:extent cx="6200775" cy="1463040"/>
                    <wp:effectExtent l="0" t="0" r="9525" b="381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620077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3BB9" w:rsidRPr="005A7E8D" w:rsidRDefault="00FF6BC6" w:rsidP="0096798B">
                                <w:pPr>
                                  <w:pStyle w:val="Title"/>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B93BB9">
                                      <w:rPr>
                                        <w:rFonts w:ascii="Calibri" w:hAnsi="Calibri" w:cs="Calibri"/>
                                        <w:b/>
                                        <w:color w:val="auto"/>
                                        <w:sz w:val="48"/>
                                        <w:szCs w:val="56"/>
                                      </w:rPr>
                                      <w:t>Darbības</w:t>
                                    </w:r>
                                    <w:r w:rsidR="00B93BB9" w:rsidRPr="005A7E8D">
                                      <w:rPr>
                                        <w:rFonts w:ascii="Calibri" w:hAnsi="Calibri" w:cs="Calibri"/>
                                        <w:b/>
                                        <w:color w:val="auto"/>
                                        <w:sz w:val="48"/>
                                        <w:szCs w:val="56"/>
                                      </w:rPr>
                                      <w:t xml:space="preserve"> pārskats </w:t>
                                    </w:r>
                                    <w:r w:rsidR="00B93BB9">
                                      <w:rPr>
                                        <w:rFonts w:ascii="Calibri" w:hAnsi="Calibri" w:cs="Calibri"/>
                                        <w:b/>
                                        <w:color w:val="auto"/>
                                        <w:sz w:val="48"/>
                                        <w:szCs w:val="56"/>
                                      </w:rPr>
                                      <w:t xml:space="preserve">                                                   </w:t>
                                    </w:r>
                                    <w:r w:rsidR="00B93BB9" w:rsidRPr="005A7E8D">
                                      <w:rPr>
                                        <w:rFonts w:ascii="Calibri" w:hAnsi="Calibri" w:cs="Calibri"/>
                                        <w:b/>
                                        <w:color w:val="auto"/>
                                        <w:sz w:val="48"/>
                                        <w:szCs w:val="56"/>
                                      </w:rPr>
                                      <w:t>2019.gads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B93BB9" w:rsidRPr="005A7E8D">
                                      <w:rPr>
                                        <w:rFonts w:ascii="Calibri" w:hAnsi="Calibri" w:cs="Calibri"/>
                                        <w:color w:val="auto"/>
                                        <w:sz w:val="48"/>
                                        <w:szCs w:val="5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148628" id="_x0000_t202" coordsize="21600,21600" o:spt="202" path="m,l,21600r21600,l21600,xe">
                    <v:stroke joinstyle="miter"/>
                    <v:path gradientshapeok="t" o:connecttype="rect"/>
                  </v:shapetype>
                  <v:shape id="Text Box 5" o:spid="_x0000_s1026" type="#_x0000_t202" alt="Text box displaying document title and subtitle" style="position:absolute;left:0;text-align:left;margin-left:-.05pt;margin-top:332.25pt;width:488.25pt;height:115.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" filled="f" stroked="f" strokeweight=".5pt">
                    <v:textbox style="mso-fit-shape-to-text:t" inset="0,0,0,0">
                      <w:txbxContent>
                        <w:p w:rsidR="00B93BB9" w:rsidRPr="005A7E8D" w:rsidRDefault="001026D9" w:rsidP="0096798B">
                          <w:pPr>
                            <w:pStyle w:val="Title"/>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proofErr w:type="spellStart"/>
                              <w:r w:rsidR="00B93BB9">
                                <w:rPr>
                                  <w:rFonts w:ascii="Calibri" w:hAnsi="Calibri" w:cs="Calibri"/>
                                  <w:b/>
                                  <w:color w:val="auto"/>
                                  <w:sz w:val="48"/>
                                  <w:szCs w:val="56"/>
                                </w:rPr>
                                <w:t>Darbības</w:t>
                              </w:r>
                              <w:proofErr w:type="spellEnd"/>
                              <w:r w:rsidR="00B93BB9" w:rsidRPr="005A7E8D">
                                <w:rPr>
                                  <w:rFonts w:ascii="Calibri" w:hAnsi="Calibri" w:cs="Calibri"/>
                                  <w:b/>
                                  <w:color w:val="auto"/>
                                  <w:sz w:val="48"/>
                                  <w:szCs w:val="56"/>
                                </w:rPr>
                                <w:t xml:space="preserve"> </w:t>
                              </w:r>
                              <w:proofErr w:type="spellStart"/>
                              <w:r w:rsidR="00B93BB9" w:rsidRPr="005A7E8D">
                                <w:rPr>
                                  <w:rFonts w:ascii="Calibri" w:hAnsi="Calibri" w:cs="Calibri"/>
                                  <w:b/>
                                  <w:color w:val="auto"/>
                                  <w:sz w:val="48"/>
                                  <w:szCs w:val="56"/>
                                </w:rPr>
                                <w:t>pārskats</w:t>
                              </w:r>
                              <w:proofErr w:type="spellEnd"/>
                              <w:r w:rsidR="00B93BB9" w:rsidRPr="005A7E8D">
                                <w:rPr>
                                  <w:rFonts w:ascii="Calibri" w:hAnsi="Calibri" w:cs="Calibri"/>
                                  <w:b/>
                                  <w:color w:val="auto"/>
                                  <w:sz w:val="48"/>
                                  <w:szCs w:val="56"/>
                                </w:rPr>
                                <w:t xml:space="preserve"> </w:t>
                              </w:r>
                              <w:r w:rsidR="00B93BB9">
                                <w:rPr>
                                  <w:rFonts w:ascii="Calibri" w:hAnsi="Calibri" w:cs="Calibri"/>
                                  <w:b/>
                                  <w:color w:val="auto"/>
                                  <w:sz w:val="48"/>
                                  <w:szCs w:val="56"/>
                                </w:rPr>
                                <w:t xml:space="preserve">                                                   </w:t>
                              </w:r>
                              <w:r w:rsidR="00B93BB9" w:rsidRPr="005A7E8D">
                                <w:rPr>
                                  <w:rFonts w:ascii="Calibri" w:hAnsi="Calibri" w:cs="Calibri"/>
                                  <w:b/>
                                  <w:color w:val="auto"/>
                                  <w:sz w:val="48"/>
                                  <w:szCs w:val="56"/>
                                </w:rPr>
                                <w:t>2019.gads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B93BB9" w:rsidRPr="005A7E8D">
                                <w:rPr>
                                  <w:rFonts w:ascii="Calibri" w:hAnsi="Calibri" w:cs="Calibri"/>
                                  <w:color w:val="auto"/>
                                  <w:sz w:val="48"/>
                                  <w:szCs w:val="56"/>
                                </w:rPr>
                                <w:t xml:space="preserve">     </w:t>
                              </w:r>
                            </w:sdtContent>
                          </w:sdt>
                        </w:p>
                      </w:txbxContent>
                    </v:textbox>
                    <w10:wrap type="topAndBottom" anchorx="margin" anchory="margin"/>
                  </v:shape>
                </w:pict>
              </mc:Fallback>
            </mc:AlternateContent>
          </w:r>
          <w:bookmarkStart w:id="0" w:name="_GoBack"/>
          <w:bookmarkEnd w:id="0"/>
          <w:r w:rsidR="0096798B" w:rsidRPr="00580E74">
            <w:rPr>
              <w:noProof/>
              <w:color w:val="auto"/>
              <w:lang w:val="lv-LV" w:eastAsia="lv-LV"/>
            </w:rPr>
            <mc:AlternateContent>
              <mc:Choice Requires="wps">
                <w:drawing>
                  <wp:anchor distT="0" distB="0" distL="114300" distR="114300" simplePos="0" relativeHeight="251679744" behindDoc="0" locked="0" layoutInCell="1" allowOverlap="1" wp14:anchorId="3BF4DD59" wp14:editId="3BDC7773">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3BB9" w:rsidRPr="005A7E8D" w:rsidRDefault="00B93BB9" w:rsidP="0096798B">
                                <w:pPr>
                                  <w:shd w:val="clear" w:color="auto" w:fill="BFBFBF" w:themeFill="background1" w:themeFillShade="BF"/>
                                  <w:spacing w:after="0" w:line="240" w:lineRule="auto"/>
                                  <w:jc w:val="center"/>
                                  <w:rPr>
                                    <w:rFonts w:ascii="Calibri" w:hAnsi="Calibri" w:cs="Calibri"/>
                                    <w:color w:val="auto"/>
                                    <w:sz w:val="24"/>
                                    <w:szCs w:val="24"/>
                                  </w:rPr>
                                </w:pPr>
                                <w:r w:rsidRPr="005A7E8D">
                                  <w:rPr>
                                    <w:rFonts w:ascii="Calibri" w:hAnsi="Calibri" w:cs="Calibri"/>
                                    <w:color w:val="auto"/>
                                    <w:sz w:val="24"/>
                                    <w:szCs w:val="24"/>
                                  </w:rPr>
                                  <w:t>Riepnieku iela 2, Rīga, LV-1050</w:t>
                                </w:r>
                              </w:p>
                              <w:p w:rsidR="00B93BB9" w:rsidRPr="000F39D5" w:rsidRDefault="00FF6BC6" w:rsidP="0096798B">
                                <w:pPr>
                                  <w:shd w:val="clear" w:color="auto" w:fill="BFBFBF" w:themeFill="background1" w:themeFillShade="BF"/>
                                  <w:spacing w:after="0" w:line="240" w:lineRule="auto"/>
                                  <w:jc w:val="center"/>
                                  <w:rPr>
                                    <w:rFonts w:ascii="Calibri" w:hAnsi="Calibri" w:cs="Calibri"/>
                                    <w:sz w:val="24"/>
                                    <w:szCs w:val="24"/>
                                  </w:rPr>
                                </w:pPr>
                                <w:hyperlink r:id="rId9" w:history="1">
                                  <w:r w:rsidR="00B93BB9" w:rsidRPr="000F39D5">
                                    <w:rPr>
                                      <w:rStyle w:val="Hyperlink"/>
                                      <w:rFonts w:ascii="Calibri" w:hAnsi="Calibri" w:cs="Calibri"/>
                                      <w:color w:val="auto"/>
                                      <w:sz w:val="24"/>
                                      <w:szCs w:val="24"/>
                                    </w:rPr>
                                    <w:t>vdzti@vdzti.gov.lv</w:t>
                                  </w:r>
                                </w:hyperlink>
                                <w:r w:rsidR="00B93BB9" w:rsidRPr="000F39D5">
                                  <w:rPr>
                                    <w:rFonts w:ascii="Calibri" w:hAnsi="Calibri" w:cs="Calibri"/>
                                    <w:sz w:val="24"/>
                                    <w:szCs w:val="24"/>
                                  </w:rPr>
                                  <w:t xml:space="preserve"> </w:t>
                                </w:r>
                              </w:p>
                              <w:p w:rsidR="00B93BB9" w:rsidRPr="000F39D5" w:rsidRDefault="00FF6BC6" w:rsidP="0096798B">
                                <w:pPr>
                                  <w:shd w:val="clear" w:color="auto" w:fill="BFBFBF" w:themeFill="background1" w:themeFillShade="BF"/>
                                  <w:spacing w:after="0" w:line="240" w:lineRule="auto"/>
                                  <w:jc w:val="center"/>
                                  <w:rPr>
                                    <w:rFonts w:ascii="Calibri" w:hAnsi="Calibri" w:cs="Calibri"/>
                                    <w:sz w:val="24"/>
                                    <w:szCs w:val="24"/>
                                  </w:rPr>
                                </w:pPr>
                                <w:hyperlink r:id="rId10" w:history="1">
                                  <w:r w:rsidR="00B93BB9" w:rsidRPr="000F39D5">
                                    <w:rPr>
                                      <w:rStyle w:val="Hyperlink"/>
                                      <w:rFonts w:ascii="Calibri" w:hAnsi="Calibri" w:cs="Calibri"/>
                                      <w:color w:val="auto"/>
                                      <w:sz w:val="24"/>
                                      <w:szCs w:val="24"/>
                                    </w:rPr>
                                    <w:t>www.vdzti.gov.lv</w:t>
                                  </w:r>
                                </w:hyperlink>
                                <w:r w:rsidR="00B93BB9" w:rsidRPr="000F39D5">
                                  <w:rPr>
                                    <w:rFonts w:ascii="Calibri" w:hAnsi="Calibri" w:cs="Calibri"/>
                                    <w:sz w:val="24"/>
                                    <w:szCs w:val="24"/>
                                  </w:rPr>
                                  <w:t xml:space="preserve"> </w:t>
                                </w:r>
                              </w:p>
                              <w:p w:rsidR="00B93BB9" w:rsidRDefault="00B93BB9" w:rsidP="0096798B">
                                <w:pPr>
                                  <w:pStyle w:val="TableSpace"/>
                                  <w:shd w:val="clear" w:color="auto" w:fill="BFBFBF" w:themeFill="background1" w:themeFillShade="BF"/>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BF4DD59" id="_x0000_t202" coordsize="21600,21600" o:spt="202" path="m,l,21600r21600,l21600,xe">
                    <v:stroke joinstyle="miter"/>
                    <v:path gradientshapeok="t" o:connecttype="rect"/>
                  </v:shapetype>
                  <v:shape id="Text Box 6" o:spid="_x0000_s1027" type="#_x0000_t202" alt="Text box displaying company contact information" style="position:absolute;left:0;text-align:left;margin-left:416.8pt;margin-top:504.75pt;width:468pt;height:96.75pt;z-index:25167974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" fillcolor="#bfbfbf [2412]" stroked="f" strokeweight=".5pt">
                    <v:textbox inset="12.96pt,0,12.96pt,0">
                      <w:txbxContent>
                        <w:p w:rsidR="00B93BB9" w:rsidRPr="005A7E8D" w:rsidRDefault="00B93BB9" w:rsidP="0096798B">
                          <w:pPr>
                            <w:shd w:val="clear" w:color="auto" w:fill="BFBFBF" w:themeFill="background1" w:themeFillShade="BF"/>
                            <w:spacing w:after="0" w:line="240" w:lineRule="auto"/>
                            <w:jc w:val="center"/>
                            <w:rPr>
                              <w:rFonts w:ascii="Calibri" w:hAnsi="Calibri" w:cs="Calibri"/>
                              <w:color w:val="auto"/>
                              <w:sz w:val="24"/>
                              <w:szCs w:val="24"/>
                            </w:rPr>
                          </w:pPr>
                          <w:r w:rsidRPr="005A7E8D">
                            <w:rPr>
                              <w:rFonts w:ascii="Calibri" w:hAnsi="Calibri" w:cs="Calibri"/>
                              <w:color w:val="auto"/>
                              <w:sz w:val="24"/>
                              <w:szCs w:val="24"/>
                            </w:rPr>
                            <w:t>Riepnieku iela 2, Rīga, LV-1050</w:t>
                          </w:r>
                        </w:p>
                        <w:p w:rsidR="00B93BB9" w:rsidRPr="000F39D5" w:rsidRDefault="00FF6BC6" w:rsidP="0096798B">
                          <w:pPr>
                            <w:shd w:val="clear" w:color="auto" w:fill="BFBFBF" w:themeFill="background1" w:themeFillShade="BF"/>
                            <w:spacing w:after="0" w:line="240" w:lineRule="auto"/>
                            <w:jc w:val="center"/>
                            <w:rPr>
                              <w:rFonts w:ascii="Calibri" w:hAnsi="Calibri" w:cs="Calibri"/>
                              <w:sz w:val="24"/>
                              <w:szCs w:val="24"/>
                            </w:rPr>
                          </w:pPr>
                          <w:hyperlink r:id="rId11" w:history="1">
                            <w:r w:rsidR="00B93BB9" w:rsidRPr="000F39D5">
                              <w:rPr>
                                <w:rStyle w:val="Hyperlink"/>
                                <w:rFonts w:ascii="Calibri" w:hAnsi="Calibri" w:cs="Calibri"/>
                                <w:color w:val="auto"/>
                                <w:sz w:val="24"/>
                                <w:szCs w:val="24"/>
                              </w:rPr>
                              <w:t>vdzti@vdzti.gov.lv</w:t>
                            </w:r>
                          </w:hyperlink>
                          <w:r w:rsidR="00B93BB9" w:rsidRPr="000F39D5">
                            <w:rPr>
                              <w:rFonts w:ascii="Calibri" w:hAnsi="Calibri" w:cs="Calibri"/>
                              <w:sz w:val="24"/>
                              <w:szCs w:val="24"/>
                            </w:rPr>
                            <w:t xml:space="preserve"> </w:t>
                          </w:r>
                        </w:p>
                        <w:p w:rsidR="00B93BB9" w:rsidRPr="000F39D5" w:rsidRDefault="00FF6BC6" w:rsidP="0096798B">
                          <w:pPr>
                            <w:shd w:val="clear" w:color="auto" w:fill="BFBFBF" w:themeFill="background1" w:themeFillShade="BF"/>
                            <w:spacing w:after="0" w:line="240" w:lineRule="auto"/>
                            <w:jc w:val="center"/>
                            <w:rPr>
                              <w:rFonts w:ascii="Calibri" w:hAnsi="Calibri" w:cs="Calibri"/>
                              <w:sz w:val="24"/>
                              <w:szCs w:val="24"/>
                            </w:rPr>
                          </w:pPr>
                          <w:hyperlink r:id="rId12" w:history="1">
                            <w:r w:rsidR="00B93BB9" w:rsidRPr="000F39D5">
                              <w:rPr>
                                <w:rStyle w:val="Hyperlink"/>
                                <w:rFonts w:ascii="Calibri" w:hAnsi="Calibri" w:cs="Calibri"/>
                                <w:color w:val="auto"/>
                                <w:sz w:val="24"/>
                                <w:szCs w:val="24"/>
                              </w:rPr>
                              <w:t>www.vdzti.gov.lv</w:t>
                            </w:r>
                          </w:hyperlink>
                          <w:r w:rsidR="00B93BB9" w:rsidRPr="000F39D5">
                            <w:rPr>
                              <w:rFonts w:ascii="Calibri" w:hAnsi="Calibri" w:cs="Calibri"/>
                              <w:sz w:val="24"/>
                              <w:szCs w:val="24"/>
                            </w:rPr>
                            <w:t xml:space="preserve"> </w:t>
                          </w:r>
                        </w:p>
                        <w:p w:rsidR="00B93BB9" w:rsidRDefault="00B93BB9" w:rsidP="0096798B">
                          <w:pPr>
                            <w:pStyle w:val="TableSpace"/>
                            <w:shd w:val="clear" w:color="auto" w:fill="BFBFBF" w:themeFill="background1" w:themeFillShade="BF"/>
                          </w:pPr>
                        </w:p>
                      </w:txbxContent>
                    </v:textbox>
                    <w10:wrap type="topAndBottom" anchorx="margin" anchory="margin"/>
                  </v:shape>
                </w:pict>
              </mc:Fallback>
            </mc:AlternateContent>
          </w:r>
          <w:r w:rsidR="0096798B" w:rsidRPr="00580E74">
            <w:rPr>
              <w:color w:val="auto"/>
              <w:lang w:val="lv-LV"/>
            </w:rPr>
            <w:br w:type="page"/>
          </w:r>
        </w:p>
      </w:sdtContent>
    </w:sdt>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b/>
          <w:bCs/>
          <w:noProof/>
        </w:rPr>
      </w:sdtEndPr>
      <w:sdtContent>
        <w:p w:rsidR="00990E0F" w:rsidRPr="00C81AE1" w:rsidRDefault="00990E0F">
          <w:pPr>
            <w:pStyle w:val="TOCHeading"/>
            <w:rPr>
              <w:rFonts w:asciiTheme="minorHAnsi" w:hAnsiTheme="minorHAnsi" w:cstheme="minorHAnsi"/>
              <w:b/>
              <w:color w:val="auto"/>
              <w:sz w:val="28"/>
              <w:szCs w:val="24"/>
            </w:rPr>
          </w:pPr>
          <w:r w:rsidRPr="00AA01FE">
            <w:rPr>
              <w:rFonts w:asciiTheme="minorHAnsi" w:hAnsiTheme="minorHAnsi" w:cstheme="minorHAnsi"/>
              <w:b/>
              <w:color w:val="auto"/>
              <w:sz w:val="28"/>
              <w:szCs w:val="24"/>
            </w:rPr>
            <w:t>Saturs</w:t>
          </w:r>
        </w:p>
        <w:p w:rsidR="00D024D7" w:rsidRDefault="00990E0F">
          <w:pPr>
            <w:pStyle w:val="TOC1"/>
            <w:rPr>
              <w:rFonts w:cstheme="minorBidi"/>
              <w:bCs w:val="0"/>
              <w:szCs w:val="22"/>
              <w:lang w:eastAsia="lv-LV"/>
            </w:rPr>
          </w:pPr>
          <w:r w:rsidRPr="00990E0F">
            <w:fldChar w:fldCharType="begin"/>
          </w:r>
          <w:r w:rsidRPr="00990E0F">
            <w:instrText xml:space="preserve"> TOC \o "1-3" \h \z \u </w:instrText>
          </w:r>
          <w:r w:rsidRPr="00990E0F">
            <w:fldChar w:fldCharType="separate"/>
          </w:r>
          <w:hyperlink w:anchor="_Toc51146294" w:history="1">
            <w:r w:rsidR="00D024D7" w:rsidRPr="00E84871">
              <w:rPr>
                <w:rStyle w:val="Hyperlink"/>
                <w:b/>
              </w:rPr>
              <w:t>Pārskata saturs</w:t>
            </w:r>
            <w:r w:rsidR="00D024D7">
              <w:rPr>
                <w:webHidden/>
              </w:rPr>
              <w:tab/>
            </w:r>
            <w:r w:rsidR="00D024D7">
              <w:rPr>
                <w:webHidden/>
              </w:rPr>
              <w:fldChar w:fldCharType="begin"/>
            </w:r>
            <w:r w:rsidR="00D024D7">
              <w:rPr>
                <w:webHidden/>
              </w:rPr>
              <w:instrText xml:space="preserve"> PAGEREF _Toc51146294 \h </w:instrText>
            </w:r>
            <w:r w:rsidR="00D024D7">
              <w:rPr>
                <w:webHidden/>
              </w:rPr>
            </w:r>
            <w:r w:rsidR="00D024D7">
              <w:rPr>
                <w:webHidden/>
              </w:rPr>
              <w:fldChar w:fldCharType="separate"/>
            </w:r>
            <w:r w:rsidR="00D024D7">
              <w:rPr>
                <w:webHidden/>
              </w:rPr>
              <w:t>3</w:t>
            </w:r>
            <w:r w:rsidR="00D024D7">
              <w:rPr>
                <w:webHidden/>
              </w:rPr>
              <w:fldChar w:fldCharType="end"/>
            </w:r>
          </w:hyperlink>
        </w:p>
        <w:p w:rsidR="00D024D7" w:rsidRDefault="00FF6BC6">
          <w:pPr>
            <w:pStyle w:val="TOC1"/>
            <w:rPr>
              <w:rFonts w:cstheme="minorBidi"/>
              <w:bCs w:val="0"/>
              <w:szCs w:val="22"/>
              <w:lang w:eastAsia="lv-LV"/>
            </w:rPr>
          </w:pPr>
          <w:hyperlink w:anchor="_Toc51146295" w:history="1">
            <w:r w:rsidR="00D024D7" w:rsidRPr="00E84871">
              <w:rPr>
                <w:rStyle w:val="Hyperlink"/>
                <w:rFonts w:ascii="Calibri" w:hAnsi="Calibri" w:cs="Calibri"/>
                <w:b/>
              </w:rPr>
              <w:t>Summary in English</w:t>
            </w:r>
            <w:r w:rsidR="00D024D7">
              <w:rPr>
                <w:webHidden/>
              </w:rPr>
              <w:tab/>
            </w:r>
            <w:r w:rsidR="00D024D7">
              <w:rPr>
                <w:webHidden/>
              </w:rPr>
              <w:fldChar w:fldCharType="begin"/>
            </w:r>
            <w:r w:rsidR="00D024D7">
              <w:rPr>
                <w:webHidden/>
              </w:rPr>
              <w:instrText xml:space="preserve"> PAGEREF _Toc51146295 \h </w:instrText>
            </w:r>
            <w:r w:rsidR="00D024D7">
              <w:rPr>
                <w:webHidden/>
              </w:rPr>
            </w:r>
            <w:r w:rsidR="00D024D7">
              <w:rPr>
                <w:webHidden/>
              </w:rPr>
              <w:fldChar w:fldCharType="separate"/>
            </w:r>
            <w:r w:rsidR="00D024D7">
              <w:rPr>
                <w:webHidden/>
              </w:rPr>
              <w:t>4</w:t>
            </w:r>
            <w:r w:rsidR="00D024D7">
              <w:rPr>
                <w:webHidden/>
              </w:rPr>
              <w:fldChar w:fldCharType="end"/>
            </w:r>
          </w:hyperlink>
        </w:p>
        <w:p w:rsidR="00D024D7" w:rsidRDefault="00FF6BC6">
          <w:pPr>
            <w:pStyle w:val="TOC1"/>
            <w:rPr>
              <w:rFonts w:cstheme="minorBidi"/>
              <w:bCs w:val="0"/>
              <w:szCs w:val="22"/>
              <w:lang w:eastAsia="lv-LV"/>
            </w:rPr>
          </w:pPr>
          <w:hyperlink w:anchor="_Toc51146296" w:history="1">
            <w:r w:rsidR="00D024D7" w:rsidRPr="00E84871">
              <w:rPr>
                <w:rStyle w:val="Hyperlink"/>
                <w:b/>
              </w:rPr>
              <w:t>VDzTI stratēģijas, programmas, plāni</w:t>
            </w:r>
            <w:r w:rsidR="00D024D7">
              <w:rPr>
                <w:webHidden/>
              </w:rPr>
              <w:tab/>
            </w:r>
            <w:r w:rsidR="00D024D7">
              <w:rPr>
                <w:webHidden/>
              </w:rPr>
              <w:fldChar w:fldCharType="begin"/>
            </w:r>
            <w:r w:rsidR="00D024D7">
              <w:rPr>
                <w:webHidden/>
              </w:rPr>
              <w:instrText xml:space="preserve"> PAGEREF _Toc51146296 \h </w:instrText>
            </w:r>
            <w:r w:rsidR="00D024D7">
              <w:rPr>
                <w:webHidden/>
              </w:rPr>
            </w:r>
            <w:r w:rsidR="00D024D7">
              <w:rPr>
                <w:webHidden/>
              </w:rPr>
              <w:fldChar w:fldCharType="separate"/>
            </w:r>
            <w:r w:rsidR="00D024D7">
              <w:rPr>
                <w:webHidden/>
              </w:rPr>
              <w:t>5</w:t>
            </w:r>
            <w:r w:rsidR="00D024D7">
              <w:rPr>
                <w:webHidden/>
              </w:rPr>
              <w:fldChar w:fldCharType="end"/>
            </w:r>
          </w:hyperlink>
        </w:p>
        <w:p w:rsidR="00D024D7" w:rsidRDefault="00FF6BC6">
          <w:pPr>
            <w:pStyle w:val="TOC1"/>
            <w:rPr>
              <w:rFonts w:cstheme="minorBidi"/>
              <w:bCs w:val="0"/>
              <w:szCs w:val="22"/>
              <w:lang w:eastAsia="lv-LV"/>
            </w:rPr>
          </w:pPr>
          <w:hyperlink w:anchor="_Toc51146297" w:history="1">
            <w:r w:rsidR="00D024D7" w:rsidRPr="00E84871">
              <w:rPr>
                <w:rStyle w:val="Hyperlink"/>
                <w:b/>
              </w:rPr>
              <w:t>Dzelzceļa kustības drošības līmeņa pārraudzība</w:t>
            </w:r>
            <w:r w:rsidR="00D024D7">
              <w:rPr>
                <w:webHidden/>
              </w:rPr>
              <w:tab/>
            </w:r>
            <w:r w:rsidR="00D024D7">
              <w:rPr>
                <w:webHidden/>
              </w:rPr>
              <w:fldChar w:fldCharType="begin"/>
            </w:r>
            <w:r w:rsidR="00D024D7">
              <w:rPr>
                <w:webHidden/>
              </w:rPr>
              <w:instrText xml:space="preserve"> PAGEREF _Toc51146297 \h </w:instrText>
            </w:r>
            <w:r w:rsidR="00D024D7">
              <w:rPr>
                <w:webHidden/>
              </w:rPr>
            </w:r>
            <w:r w:rsidR="00D024D7">
              <w:rPr>
                <w:webHidden/>
              </w:rPr>
              <w:fldChar w:fldCharType="separate"/>
            </w:r>
            <w:r w:rsidR="00D024D7">
              <w:rPr>
                <w:webHidden/>
              </w:rPr>
              <w:t>5</w:t>
            </w:r>
            <w:r w:rsidR="00D024D7">
              <w:rPr>
                <w:webHidden/>
              </w:rPr>
              <w:fldChar w:fldCharType="end"/>
            </w:r>
          </w:hyperlink>
        </w:p>
        <w:p w:rsidR="00D024D7" w:rsidRDefault="00FF6BC6">
          <w:pPr>
            <w:pStyle w:val="TOC1"/>
            <w:rPr>
              <w:rFonts w:cstheme="minorBidi"/>
              <w:bCs w:val="0"/>
              <w:szCs w:val="22"/>
              <w:lang w:eastAsia="lv-LV"/>
            </w:rPr>
          </w:pPr>
          <w:hyperlink w:anchor="_Toc51146298" w:history="1">
            <w:r w:rsidR="00D024D7" w:rsidRPr="00E84871">
              <w:rPr>
                <w:rStyle w:val="Hyperlink"/>
                <w:b/>
              </w:rPr>
              <w:t>Uzraudzība</w:t>
            </w:r>
            <w:r w:rsidR="00D024D7">
              <w:rPr>
                <w:webHidden/>
              </w:rPr>
              <w:tab/>
            </w:r>
            <w:r w:rsidR="00D024D7">
              <w:rPr>
                <w:webHidden/>
              </w:rPr>
              <w:fldChar w:fldCharType="begin"/>
            </w:r>
            <w:r w:rsidR="00D024D7">
              <w:rPr>
                <w:webHidden/>
              </w:rPr>
              <w:instrText xml:space="preserve"> PAGEREF _Toc51146298 \h </w:instrText>
            </w:r>
            <w:r w:rsidR="00D024D7">
              <w:rPr>
                <w:webHidden/>
              </w:rPr>
            </w:r>
            <w:r w:rsidR="00D024D7">
              <w:rPr>
                <w:webHidden/>
              </w:rPr>
              <w:fldChar w:fldCharType="separate"/>
            </w:r>
            <w:r w:rsidR="00D024D7">
              <w:rPr>
                <w:webHidden/>
              </w:rPr>
              <w:t>6</w:t>
            </w:r>
            <w:r w:rsidR="00D024D7">
              <w:rPr>
                <w:webHidden/>
              </w:rPr>
              <w:fldChar w:fldCharType="end"/>
            </w:r>
          </w:hyperlink>
        </w:p>
        <w:p w:rsidR="00D024D7" w:rsidRDefault="00FF6BC6">
          <w:pPr>
            <w:pStyle w:val="TOC1"/>
            <w:rPr>
              <w:rFonts w:cstheme="minorBidi"/>
              <w:bCs w:val="0"/>
              <w:szCs w:val="22"/>
              <w:lang w:eastAsia="lv-LV"/>
            </w:rPr>
          </w:pPr>
          <w:hyperlink w:anchor="_Toc51146299" w:history="1">
            <w:r w:rsidR="00D024D7" w:rsidRPr="00E84871">
              <w:rPr>
                <w:rStyle w:val="Hyperlink"/>
                <w:b/>
              </w:rPr>
              <w:t>Sertificēšana</w:t>
            </w:r>
            <w:r w:rsidR="00D024D7">
              <w:rPr>
                <w:webHidden/>
              </w:rPr>
              <w:tab/>
            </w:r>
            <w:r w:rsidR="00D024D7">
              <w:rPr>
                <w:webHidden/>
              </w:rPr>
              <w:fldChar w:fldCharType="begin"/>
            </w:r>
            <w:r w:rsidR="00D024D7">
              <w:rPr>
                <w:webHidden/>
              </w:rPr>
              <w:instrText xml:space="preserve"> PAGEREF _Toc51146299 \h </w:instrText>
            </w:r>
            <w:r w:rsidR="00D024D7">
              <w:rPr>
                <w:webHidden/>
              </w:rPr>
            </w:r>
            <w:r w:rsidR="00D024D7">
              <w:rPr>
                <w:webHidden/>
              </w:rPr>
              <w:fldChar w:fldCharType="separate"/>
            </w:r>
            <w:r w:rsidR="00D024D7">
              <w:rPr>
                <w:webHidden/>
              </w:rPr>
              <w:t>7</w:t>
            </w:r>
            <w:r w:rsidR="00D024D7">
              <w:rPr>
                <w:webHidden/>
              </w:rPr>
              <w:fldChar w:fldCharType="end"/>
            </w:r>
          </w:hyperlink>
        </w:p>
        <w:p w:rsidR="00D024D7" w:rsidRDefault="00FF6BC6">
          <w:pPr>
            <w:pStyle w:val="TOC1"/>
            <w:rPr>
              <w:rFonts w:cstheme="minorBidi"/>
              <w:bCs w:val="0"/>
              <w:szCs w:val="22"/>
              <w:lang w:eastAsia="lv-LV"/>
            </w:rPr>
          </w:pPr>
          <w:hyperlink w:anchor="_Toc51146300" w:history="1">
            <w:r w:rsidR="00D024D7" w:rsidRPr="00E84871">
              <w:rPr>
                <w:rStyle w:val="Hyperlink"/>
                <w:b/>
              </w:rPr>
              <w:t>Ceturtā dzelzceļa pakotne</w:t>
            </w:r>
            <w:r w:rsidR="00D024D7">
              <w:rPr>
                <w:webHidden/>
              </w:rPr>
              <w:tab/>
            </w:r>
            <w:r w:rsidR="00D024D7">
              <w:rPr>
                <w:webHidden/>
              </w:rPr>
              <w:fldChar w:fldCharType="begin"/>
            </w:r>
            <w:r w:rsidR="00D024D7">
              <w:rPr>
                <w:webHidden/>
              </w:rPr>
              <w:instrText xml:space="preserve"> PAGEREF _Toc51146300 \h </w:instrText>
            </w:r>
            <w:r w:rsidR="00D024D7">
              <w:rPr>
                <w:webHidden/>
              </w:rPr>
            </w:r>
            <w:r w:rsidR="00D024D7">
              <w:rPr>
                <w:webHidden/>
              </w:rPr>
              <w:fldChar w:fldCharType="separate"/>
            </w:r>
            <w:r w:rsidR="00D024D7">
              <w:rPr>
                <w:webHidden/>
              </w:rPr>
              <w:t>7</w:t>
            </w:r>
            <w:r w:rsidR="00D024D7">
              <w:rPr>
                <w:webHidden/>
              </w:rPr>
              <w:fldChar w:fldCharType="end"/>
            </w:r>
          </w:hyperlink>
        </w:p>
        <w:p w:rsidR="00D024D7" w:rsidRDefault="00FF6BC6">
          <w:pPr>
            <w:pStyle w:val="TOC1"/>
            <w:rPr>
              <w:rFonts w:cstheme="minorBidi"/>
              <w:bCs w:val="0"/>
              <w:szCs w:val="22"/>
              <w:lang w:eastAsia="lv-LV"/>
            </w:rPr>
          </w:pPr>
          <w:hyperlink w:anchor="_Toc51146301" w:history="1">
            <w:r w:rsidR="00D024D7" w:rsidRPr="00E84871">
              <w:rPr>
                <w:rStyle w:val="Hyperlink"/>
                <w:b/>
              </w:rPr>
              <w:t>VDzTI darba kapacitāte, pārvaldība un resursi</w:t>
            </w:r>
            <w:r w:rsidR="00D024D7">
              <w:rPr>
                <w:webHidden/>
              </w:rPr>
              <w:tab/>
            </w:r>
            <w:r w:rsidR="00D024D7">
              <w:rPr>
                <w:webHidden/>
              </w:rPr>
              <w:fldChar w:fldCharType="begin"/>
            </w:r>
            <w:r w:rsidR="00D024D7">
              <w:rPr>
                <w:webHidden/>
              </w:rPr>
              <w:instrText xml:space="preserve"> PAGEREF _Toc51146301 \h </w:instrText>
            </w:r>
            <w:r w:rsidR="00D024D7">
              <w:rPr>
                <w:webHidden/>
              </w:rPr>
            </w:r>
            <w:r w:rsidR="00D024D7">
              <w:rPr>
                <w:webHidden/>
              </w:rPr>
              <w:fldChar w:fldCharType="separate"/>
            </w:r>
            <w:r w:rsidR="00D024D7">
              <w:rPr>
                <w:webHidden/>
              </w:rPr>
              <w:t>8</w:t>
            </w:r>
            <w:r w:rsidR="00D024D7">
              <w:rPr>
                <w:webHidden/>
              </w:rPr>
              <w:fldChar w:fldCharType="end"/>
            </w:r>
          </w:hyperlink>
        </w:p>
        <w:p w:rsidR="00D024D7" w:rsidRDefault="00FF6BC6">
          <w:pPr>
            <w:pStyle w:val="TOC1"/>
            <w:rPr>
              <w:rFonts w:cstheme="minorBidi"/>
              <w:bCs w:val="0"/>
              <w:szCs w:val="22"/>
              <w:lang w:eastAsia="lv-LV"/>
            </w:rPr>
          </w:pPr>
          <w:hyperlink w:anchor="_Toc51146302" w:history="1">
            <w:r w:rsidR="00D024D7" w:rsidRPr="00E84871">
              <w:rPr>
                <w:rStyle w:val="Hyperlink"/>
                <w:b/>
              </w:rPr>
              <w:t>Drošības ieteikumi</w:t>
            </w:r>
            <w:r w:rsidR="00D024D7">
              <w:rPr>
                <w:webHidden/>
              </w:rPr>
              <w:tab/>
            </w:r>
            <w:r w:rsidR="00D024D7">
              <w:rPr>
                <w:webHidden/>
              </w:rPr>
              <w:fldChar w:fldCharType="begin"/>
            </w:r>
            <w:r w:rsidR="00D024D7">
              <w:rPr>
                <w:webHidden/>
              </w:rPr>
              <w:instrText xml:space="preserve"> PAGEREF _Toc51146302 \h </w:instrText>
            </w:r>
            <w:r w:rsidR="00D024D7">
              <w:rPr>
                <w:webHidden/>
              </w:rPr>
            </w:r>
            <w:r w:rsidR="00D024D7">
              <w:rPr>
                <w:webHidden/>
              </w:rPr>
              <w:fldChar w:fldCharType="separate"/>
            </w:r>
            <w:r w:rsidR="00D024D7">
              <w:rPr>
                <w:webHidden/>
              </w:rPr>
              <w:t>8</w:t>
            </w:r>
            <w:r w:rsidR="00D024D7">
              <w:rPr>
                <w:webHidden/>
              </w:rPr>
              <w:fldChar w:fldCharType="end"/>
            </w:r>
          </w:hyperlink>
        </w:p>
        <w:p w:rsidR="00D024D7" w:rsidRDefault="00FF6BC6">
          <w:pPr>
            <w:pStyle w:val="TOC1"/>
            <w:rPr>
              <w:rFonts w:cstheme="minorBidi"/>
              <w:bCs w:val="0"/>
              <w:szCs w:val="22"/>
              <w:lang w:eastAsia="lv-LV"/>
            </w:rPr>
          </w:pPr>
          <w:hyperlink w:anchor="_Toc51146305" w:history="1">
            <w:r w:rsidR="00D024D7" w:rsidRPr="00E84871">
              <w:rPr>
                <w:rStyle w:val="Hyperlink"/>
                <w:b/>
              </w:rPr>
              <w:t>VDzTI struktūra un personāls</w:t>
            </w:r>
            <w:r w:rsidR="00D024D7">
              <w:rPr>
                <w:webHidden/>
              </w:rPr>
              <w:tab/>
            </w:r>
            <w:r w:rsidR="00D024D7">
              <w:rPr>
                <w:webHidden/>
              </w:rPr>
              <w:fldChar w:fldCharType="begin"/>
            </w:r>
            <w:r w:rsidR="00D024D7">
              <w:rPr>
                <w:webHidden/>
              </w:rPr>
              <w:instrText xml:space="preserve"> PAGEREF _Toc51146305 \h </w:instrText>
            </w:r>
            <w:r w:rsidR="00D024D7">
              <w:rPr>
                <w:webHidden/>
              </w:rPr>
            </w:r>
            <w:r w:rsidR="00D024D7">
              <w:rPr>
                <w:webHidden/>
              </w:rPr>
              <w:fldChar w:fldCharType="separate"/>
            </w:r>
            <w:r w:rsidR="00D024D7">
              <w:rPr>
                <w:webHidden/>
              </w:rPr>
              <w:t>8</w:t>
            </w:r>
            <w:r w:rsidR="00D024D7">
              <w:rPr>
                <w:webHidden/>
              </w:rPr>
              <w:fldChar w:fldCharType="end"/>
            </w:r>
          </w:hyperlink>
        </w:p>
        <w:p w:rsidR="00D024D7" w:rsidRDefault="00FF6BC6">
          <w:pPr>
            <w:pStyle w:val="TOC1"/>
            <w:rPr>
              <w:rFonts w:cstheme="minorBidi"/>
              <w:bCs w:val="0"/>
              <w:szCs w:val="22"/>
              <w:lang w:eastAsia="lv-LV"/>
            </w:rPr>
          </w:pPr>
          <w:hyperlink w:anchor="_Toc51146307" w:history="1">
            <w:r w:rsidR="00D024D7" w:rsidRPr="00E84871">
              <w:rPr>
                <w:rStyle w:val="Hyperlink"/>
                <w:b/>
              </w:rPr>
              <w:t>Kustības drošības stāvokļa novērtējums</w:t>
            </w:r>
            <w:r w:rsidR="00D024D7">
              <w:rPr>
                <w:webHidden/>
              </w:rPr>
              <w:tab/>
            </w:r>
            <w:r w:rsidR="00D024D7">
              <w:rPr>
                <w:webHidden/>
              </w:rPr>
              <w:fldChar w:fldCharType="begin"/>
            </w:r>
            <w:r w:rsidR="00D024D7">
              <w:rPr>
                <w:webHidden/>
              </w:rPr>
              <w:instrText xml:space="preserve"> PAGEREF _Toc51146307 \h </w:instrText>
            </w:r>
            <w:r w:rsidR="00D024D7">
              <w:rPr>
                <w:webHidden/>
              </w:rPr>
            </w:r>
            <w:r w:rsidR="00D024D7">
              <w:rPr>
                <w:webHidden/>
              </w:rPr>
              <w:fldChar w:fldCharType="separate"/>
            </w:r>
            <w:r w:rsidR="00D024D7">
              <w:rPr>
                <w:webHidden/>
              </w:rPr>
              <w:t>9</w:t>
            </w:r>
            <w:r w:rsidR="00D024D7">
              <w:rPr>
                <w:webHidden/>
              </w:rPr>
              <w:fldChar w:fldCharType="end"/>
            </w:r>
          </w:hyperlink>
        </w:p>
        <w:p w:rsidR="00D024D7" w:rsidRDefault="00FF6BC6">
          <w:pPr>
            <w:pStyle w:val="TOC1"/>
            <w:rPr>
              <w:rFonts w:cstheme="minorBidi"/>
              <w:bCs w:val="0"/>
              <w:szCs w:val="22"/>
              <w:lang w:eastAsia="lv-LV"/>
            </w:rPr>
          </w:pPr>
          <w:hyperlink w:anchor="_Toc51146308" w:history="1">
            <w:r w:rsidR="00D024D7" w:rsidRPr="00E84871">
              <w:rPr>
                <w:rStyle w:val="Hyperlink"/>
                <w:b/>
              </w:rPr>
              <w:t>Tiesību akti</w:t>
            </w:r>
            <w:r w:rsidR="00D024D7">
              <w:rPr>
                <w:webHidden/>
              </w:rPr>
              <w:tab/>
            </w:r>
            <w:r w:rsidR="00D024D7">
              <w:rPr>
                <w:webHidden/>
              </w:rPr>
              <w:fldChar w:fldCharType="begin"/>
            </w:r>
            <w:r w:rsidR="00D024D7">
              <w:rPr>
                <w:webHidden/>
              </w:rPr>
              <w:instrText xml:space="preserve"> PAGEREF _Toc51146308 \h </w:instrText>
            </w:r>
            <w:r w:rsidR="00D024D7">
              <w:rPr>
                <w:webHidden/>
              </w:rPr>
            </w:r>
            <w:r w:rsidR="00D024D7">
              <w:rPr>
                <w:webHidden/>
              </w:rPr>
              <w:fldChar w:fldCharType="separate"/>
            </w:r>
            <w:r w:rsidR="00D024D7">
              <w:rPr>
                <w:webHidden/>
              </w:rPr>
              <w:t>14</w:t>
            </w:r>
            <w:r w:rsidR="00D024D7">
              <w:rPr>
                <w:webHidden/>
              </w:rPr>
              <w:fldChar w:fldCharType="end"/>
            </w:r>
          </w:hyperlink>
        </w:p>
        <w:p w:rsidR="00D024D7" w:rsidRDefault="00FF6BC6">
          <w:pPr>
            <w:pStyle w:val="TOC1"/>
            <w:rPr>
              <w:rFonts w:cstheme="minorBidi"/>
              <w:bCs w:val="0"/>
              <w:szCs w:val="22"/>
              <w:lang w:eastAsia="lv-LV"/>
            </w:rPr>
          </w:pPr>
          <w:hyperlink w:anchor="_Toc51146309" w:history="1">
            <w:r w:rsidR="00D024D7" w:rsidRPr="00E84871">
              <w:rPr>
                <w:rStyle w:val="Hyperlink"/>
                <w:b/>
              </w:rPr>
              <w:t>Uzraudzība</w:t>
            </w:r>
            <w:r w:rsidR="00D024D7">
              <w:rPr>
                <w:webHidden/>
              </w:rPr>
              <w:tab/>
            </w:r>
            <w:r w:rsidR="00D024D7">
              <w:rPr>
                <w:webHidden/>
              </w:rPr>
              <w:fldChar w:fldCharType="begin"/>
            </w:r>
            <w:r w:rsidR="00D024D7">
              <w:rPr>
                <w:webHidden/>
              </w:rPr>
              <w:instrText xml:space="preserve"> PAGEREF _Toc51146309 \h </w:instrText>
            </w:r>
            <w:r w:rsidR="00D024D7">
              <w:rPr>
                <w:webHidden/>
              </w:rPr>
            </w:r>
            <w:r w:rsidR="00D024D7">
              <w:rPr>
                <w:webHidden/>
              </w:rPr>
              <w:fldChar w:fldCharType="separate"/>
            </w:r>
            <w:r w:rsidR="00D024D7">
              <w:rPr>
                <w:webHidden/>
              </w:rPr>
              <w:t>14</w:t>
            </w:r>
            <w:r w:rsidR="00D024D7">
              <w:rPr>
                <w:webHidden/>
              </w:rPr>
              <w:fldChar w:fldCharType="end"/>
            </w:r>
          </w:hyperlink>
        </w:p>
        <w:p w:rsidR="00D024D7" w:rsidRDefault="00FF6BC6">
          <w:pPr>
            <w:pStyle w:val="TOC1"/>
            <w:rPr>
              <w:rFonts w:cstheme="minorBidi"/>
              <w:bCs w:val="0"/>
              <w:szCs w:val="22"/>
              <w:lang w:eastAsia="lv-LV"/>
            </w:rPr>
          </w:pPr>
          <w:hyperlink w:anchor="_Toc51146310" w:history="1">
            <w:r w:rsidR="00D024D7" w:rsidRPr="00E84871">
              <w:rPr>
                <w:rStyle w:val="Hyperlink"/>
                <w:rFonts w:ascii="Calibri" w:hAnsi="Calibri" w:cs="Calibri"/>
                <w:b/>
              </w:rPr>
              <w:t>Pārbaudes, auditi un apskates</w:t>
            </w:r>
            <w:r w:rsidR="00D024D7">
              <w:rPr>
                <w:webHidden/>
              </w:rPr>
              <w:tab/>
            </w:r>
            <w:r w:rsidR="00D024D7">
              <w:rPr>
                <w:webHidden/>
              </w:rPr>
              <w:fldChar w:fldCharType="begin"/>
            </w:r>
            <w:r w:rsidR="00D024D7">
              <w:rPr>
                <w:webHidden/>
              </w:rPr>
              <w:instrText xml:space="preserve"> PAGEREF _Toc51146310 \h </w:instrText>
            </w:r>
            <w:r w:rsidR="00D024D7">
              <w:rPr>
                <w:webHidden/>
              </w:rPr>
            </w:r>
            <w:r w:rsidR="00D024D7">
              <w:rPr>
                <w:webHidden/>
              </w:rPr>
              <w:fldChar w:fldCharType="separate"/>
            </w:r>
            <w:r w:rsidR="00D024D7">
              <w:rPr>
                <w:webHidden/>
              </w:rPr>
              <w:t>14</w:t>
            </w:r>
            <w:r w:rsidR="00D024D7">
              <w:rPr>
                <w:webHidden/>
              </w:rPr>
              <w:fldChar w:fldCharType="end"/>
            </w:r>
          </w:hyperlink>
        </w:p>
        <w:p w:rsidR="00D024D7" w:rsidRDefault="00FF6BC6">
          <w:pPr>
            <w:pStyle w:val="TOC1"/>
            <w:rPr>
              <w:rFonts w:cstheme="minorBidi"/>
              <w:bCs w:val="0"/>
              <w:szCs w:val="22"/>
              <w:lang w:eastAsia="lv-LV"/>
            </w:rPr>
          </w:pPr>
          <w:hyperlink w:anchor="_Toc51146311" w:history="1">
            <w:r w:rsidR="00D024D7" w:rsidRPr="00E84871">
              <w:rPr>
                <w:rStyle w:val="Hyperlink"/>
                <w:rFonts w:ascii="Calibri" w:hAnsi="Calibri" w:cs="Calibri"/>
                <w:b/>
              </w:rPr>
              <w:t>Dzelzceļa satiksmes negadījumu izmeklēšana</w:t>
            </w:r>
            <w:r w:rsidR="00D024D7">
              <w:rPr>
                <w:webHidden/>
              </w:rPr>
              <w:tab/>
            </w:r>
            <w:r w:rsidR="00D024D7">
              <w:rPr>
                <w:webHidden/>
              </w:rPr>
              <w:fldChar w:fldCharType="begin"/>
            </w:r>
            <w:r w:rsidR="00D024D7">
              <w:rPr>
                <w:webHidden/>
              </w:rPr>
              <w:instrText xml:space="preserve"> PAGEREF _Toc51146311 \h </w:instrText>
            </w:r>
            <w:r w:rsidR="00D024D7">
              <w:rPr>
                <w:webHidden/>
              </w:rPr>
            </w:r>
            <w:r w:rsidR="00D024D7">
              <w:rPr>
                <w:webHidden/>
              </w:rPr>
              <w:fldChar w:fldCharType="separate"/>
            </w:r>
            <w:r w:rsidR="00D024D7">
              <w:rPr>
                <w:webHidden/>
              </w:rPr>
              <w:t>16</w:t>
            </w:r>
            <w:r w:rsidR="00D024D7">
              <w:rPr>
                <w:webHidden/>
              </w:rPr>
              <w:fldChar w:fldCharType="end"/>
            </w:r>
          </w:hyperlink>
        </w:p>
        <w:p w:rsidR="00D024D7" w:rsidRDefault="00FF6BC6">
          <w:pPr>
            <w:pStyle w:val="TOC1"/>
            <w:rPr>
              <w:rFonts w:cstheme="minorBidi"/>
              <w:bCs w:val="0"/>
              <w:szCs w:val="22"/>
              <w:lang w:eastAsia="lv-LV"/>
            </w:rPr>
          </w:pPr>
          <w:hyperlink w:anchor="_Toc51146312" w:history="1">
            <w:r w:rsidR="00D024D7" w:rsidRPr="00E84871">
              <w:rPr>
                <w:rStyle w:val="Hyperlink"/>
                <w:rFonts w:ascii="Calibri" w:hAnsi="Calibri" w:cs="Calibri"/>
                <w:b/>
              </w:rPr>
              <w:t>Būvobjektu pieņemšana ekspluatācijā</w:t>
            </w:r>
            <w:r w:rsidR="00D024D7">
              <w:rPr>
                <w:webHidden/>
              </w:rPr>
              <w:tab/>
            </w:r>
            <w:r w:rsidR="00D024D7">
              <w:rPr>
                <w:webHidden/>
              </w:rPr>
              <w:fldChar w:fldCharType="begin"/>
            </w:r>
            <w:r w:rsidR="00D024D7">
              <w:rPr>
                <w:webHidden/>
              </w:rPr>
              <w:instrText xml:space="preserve"> PAGEREF _Toc51146312 \h </w:instrText>
            </w:r>
            <w:r w:rsidR="00D024D7">
              <w:rPr>
                <w:webHidden/>
              </w:rPr>
            </w:r>
            <w:r w:rsidR="00D024D7">
              <w:rPr>
                <w:webHidden/>
              </w:rPr>
              <w:fldChar w:fldCharType="separate"/>
            </w:r>
            <w:r w:rsidR="00D024D7">
              <w:rPr>
                <w:webHidden/>
              </w:rPr>
              <w:t>16</w:t>
            </w:r>
            <w:r w:rsidR="00D024D7">
              <w:rPr>
                <w:webHidden/>
              </w:rPr>
              <w:fldChar w:fldCharType="end"/>
            </w:r>
          </w:hyperlink>
        </w:p>
        <w:p w:rsidR="00D024D7" w:rsidRDefault="00FF6BC6">
          <w:pPr>
            <w:pStyle w:val="TOC1"/>
            <w:rPr>
              <w:rFonts w:cstheme="minorBidi"/>
              <w:bCs w:val="0"/>
              <w:szCs w:val="22"/>
              <w:lang w:eastAsia="lv-LV"/>
            </w:rPr>
          </w:pPr>
          <w:hyperlink w:anchor="_Toc51146313" w:history="1">
            <w:r w:rsidR="00D024D7" w:rsidRPr="00E84871">
              <w:rPr>
                <w:rStyle w:val="Hyperlink"/>
                <w:rFonts w:ascii="Calibri" w:hAnsi="Calibri" w:cs="Calibri"/>
                <w:b/>
              </w:rPr>
              <w:t>Ritošā sastāva pieņemšana ekspluatācijā</w:t>
            </w:r>
            <w:r w:rsidR="00D024D7">
              <w:rPr>
                <w:webHidden/>
              </w:rPr>
              <w:tab/>
            </w:r>
            <w:r w:rsidR="00D024D7">
              <w:rPr>
                <w:webHidden/>
              </w:rPr>
              <w:fldChar w:fldCharType="begin"/>
            </w:r>
            <w:r w:rsidR="00D024D7">
              <w:rPr>
                <w:webHidden/>
              </w:rPr>
              <w:instrText xml:space="preserve"> PAGEREF _Toc51146313 \h </w:instrText>
            </w:r>
            <w:r w:rsidR="00D024D7">
              <w:rPr>
                <w:webHidden/>
              </w:rPr>
            </w:r>
            <w:r w:rsidR="00D024D7">
              <w:rPr>
                <w:webHidden/>
              </w:rPr>
              <w:fldChar w:fldCharType="separate"/>
            </w:r>
            <w:r w:rsidR="00D024D7">
              <w:rPr>
                <w:webHidden/>
              </w:rPr>
              <w:t>17</w:t>
            </w:r>
            <w:r w:rsidR="00D024D7">
              <w:rPr>
                <w:webHidden/>
              </w:rPr>
              <w:fldChar w:fldCharType="end"/>
            </w:r>
          </w:hyperlink>
        </w:p>
        <w:p w:rsidR="00D024D7" w:rsidRDefault="00FF6BC6">
          <w:pPr>
            <w:pStyle w:val="TOC1"/>
            <w:rPr>
              <w:rFonts w:cstheme="minorBidi"/>
              <w:bCs w:val="0"/>
              <w:szCs w:val="22"/>
              <w:lang w:eastAsia="lv-LV"/>
            </w:rPr>
          </w:pPr>
          <w:hyperlink w:anchor="_Toc51146314" w:history="1">
            <w:r w:rsidR="00D024D7" w:rsidRPr="00E84871">
              <w:rPr>
                <w:rStyle w:val="Hyperlink"/>
                <w:rFonts w:ascii="Calibri" w:hAnsi="Calibri" w:cs="Calibri"/>
                <w:b/>
              </w:rPr>
              <w:t>Drošības sertifikāts</w:t>
            </w:r>
            <w:r w:rsidR="00D024D7">
              <w:rPr>
                <w:webHidden/>
              </w:rPr>
              <w:tab/>
            </w:r>
            <w:r w:rsidR="00D024D7">
              <w:rPr>
                <w:webHidden/>
              </w:rPr>
              <w:fldChar w:fldCharType="begin"/>
            </w:r>
            <w:r w:rsidR="00D024D7">
              <w:rPr>
                <w:webHidden/>
              </w:rPr>
              <w:instrText xml:space="preserve"> PAGEREF _Toc51146314 \h </w:instrText>
            </w:r>
            <w:r w:rsidR="00D024D7">
              <w:rPr>
                <w:webHidden/>
              </w:rPr>
            </w:r>
            <w:r w:rsidR="00D024D7">
              <w:rPr>
                <w:webHidden/>
              </w:rPr>
              <w:fldChar w:fldCharType="separate"/>
            </w:r>
            <w:r w:rsidR="00D024D7">
              <w:rPr>
                <w:webHidden/>
              </w:rPr>
              <w:t>17</w:t>
            </w:r>
            <w:r w:rsidR="00D024D7">
              <w:rPr>
                <w:webHidden/>
              </w:rPr>
              <w:fldChar w:fldCharType="end"/>
            </w:r>
          </w:hyperlink>
        </w:p>
        <w:p w:rsidR="00D024D7" w:rsidRDefault="00FF6BC6">
          <w:pPr>
            <w:pStyle w:val="TOC1"/>
            <w:rPr>
              <w:rFonts w:cstheme="minorBidi"/>
              <w:bCs w:val="0"/>
              <w:szCs w:val="22"/>
              <w:lang w:eastAsia="lv-LV"/>
            </w:rPr>
          </w:pPr>
          <w:hyperlink w:anchor="_Toc51146315" w:history="1">
            <w:r w:rsidR="00D024D7" w:rsidRPr="00E84871">
              <w:rPr>
                <w:rStyle w:val="Hyperlink"/>
                <w:rFonts w:ascii="Calibri" w:hAnsi="Calibri" w:cs="Calibri"/>
                <w:b/>
              </w:rPr>
              <w:t>Drošības apliecība</w:t>
            </w:r>
            <w:r w:rsidR="00D024D7">
              <w:rPr>
                <w:webHidden/>
              </w:rPr>
              <w:tab/>
            </w:r>
            <w:r w:rsidR="00D024D7">
              <w:rPr>
                <w:webHidden/>
              </w:rPr>
              <w:fldChar w:fldCharType="begin"/>
            </w:r>
            <w:r w:rsidR="00D024D7">
              <w:rPr>
                <w:webHidden/>
              </w:rPr>
              <w:instrText xml:space="preserve"> PAGEREF _Toc51146315 \h </w:instrText>
            </w:r>
            <w:r w:rsidR="00D024D7">
              <w:rPr>
                <w:webHidden/>
              </w:rPr>
            </w:r>
            <w:r w:rsidR="00D024D7">
              <w:rPr>
                <w:webHidden/>
              </w:rPr>
              <w:fldChar w:fldCharType="separate"/>
            </w:r>
            <w:r w:rsidR="00D024D7">
              <w:rPr>
                <w:webHidden/>
              </w:rPr>
              <w:t>18</w:t>
            </w:r>
            <w:r w:rsidR="00D024D7">
              <w:rPr>
                <w:webHidden/>
              </w:rPr>
              <w:fldChar w:fldCharType="end"/>
            </w:r>
          </w:hyperlink>
        </w:p>
        <w:p w:rsidR="00D024D7" w:rsidRDefault="00FF6BC6">
          <w:pPr>
            <w:pStyle w:val="TOC1"/>
            <w:rPr>
              <w:rFonts w:cstheme="minorBidi"/>
              <w:bCs w:val="0"/>
              <w:szCs w:val="22"/>
              <w:lang w:eastAsia="lv-LV"/>
            </w:rPr>
          </w:pPr>
          <w:hyperlink w:anchor="_Toc51146316" w:history="1">
            <w:r w:rsidR="00D024D7" w:rsidRPr="00E84871">
              <w:rPr>
                <w:rStyle w:val="Hyperlink"/>
                <w:rFonts w:ascii="Calibri" w:hAnsi="Calibri" w:cs="Calibri"/>
                <w:b/>
              </w:rPr>
              <w:t>Vilces līdzekļu vadītāju (mašīnistu), palīgu un instruktoru sertificēšana</w:t>
            </w:r>
            <w:r w:rsidR="00D024D7">
              <w:rPr>
                <w:webHidden/>
              </w:rPr>
              <w:tab/>
            </w:r>
            <w:r w:rsidR="00D024D7">
              <w:rPr>
                <w:webHidden/>
              </w:rPr>
              <w:fldChar w:fldCharType="begin"/>
            </w:r>
            <w:r w:rsidR="00D024D7">
              <w:rPr>
                <w:webHidden/>
              </w:rPr>
              <w:instrText xml:space="preserve"> PAGEREF _Toc51146316 \h </w:instrText>
            </w:r>
            <w:r w:rsidR="00D024D7">
              <w:rPr>
                <w:webHidden/>
              </w:rPr>
            </w:r>
            <w:r w:rsidR="00D024D7">
              <w:rPr>
                <w:webHidden/>
              </w:rPr>
              <w:fldChar w:fldCharType="separate"/>
            </w:r>
            <w:r w:rsidR="00D024D7">
              <w:rPr>
                <w:webHidden/>
              </w:rPr>
              <w:t>19</w:t>
            </w:r>
            <w:r w:rsidR="00D024D7">
              <w:rPr>
                <w:webHidden/>
              </w:rPr>
              <w:fldChar w:fldCharType="end"/>
            </w:r>
          </w:hyperlink>
        </w:p>
        <w:p w:rsidR="00D024D7" w:rsidRDefault="00FF6BC6">
          <w:pPr>
            <w:pStyle w:val="TOC1"/>
            <w:rPr>
              <w:rFonts w:cstheme="minorBidi"/>
              <w:bCs w:val="0"/>
              <w:szCs w:val="22"/>
              <w:lang w:eastAsia="lv-LV"/>
            </w:rPr>
          </w:pPr>
          <w:hyperlink w:anchor="_Toc51146317" w:history="1">
            <w:r w:rsidR="00D024D7" w:rsidRPr="00E84871">
              <w:rPr>
                <w:rStyle w:val="Hyperlink"/>
                <w:rFonts w:ascii="Calibri" w:hAnsi="Calibri" w:cs="Calibri"/>
                <w:b/>
              </w:rPr>
              <w:t>Teorētiskā eksāmena organizēšana un atbildīgo personu zināšanu pārbaudes</w:t>
            </w:r>
            <w:r w:rsidR="00D024D7">
              <w:rPr>
                <w:webHidden/>
              </w:rPr>
              <w:tab/>
            </w:r>
            <w:r w:rsidR="00D024D7">
              <w:rPr>
                <w:webHidden/>
              </w:rPr>
              <w:fldChar w:fldCharType="begin"/>
            </w:r>
            <w:r w:rsidR="00D024D7">
              <w:rPr>
                <w:webHidden/>
              </w:rPr>
              <w:instrText xml:space="preserve"> PAGEREF _Toc51146317 \h </w:instrText>
            </w:r>
            <w:r w:rsidR="00D024D7">
              <w:rPr>
                <w:webHidden/>
              </w:rPr>
            </w:r>
            <w:r w:rsidR="00D024D7">
              <w:rPr>
                <w:webHidden/>
              </w:rPr>
              <w:fldChar w:fldCharType="separate"/>
            </w:r>
            <w:r w:rsidR="00D024D7">
              <w:rPr>
                <w:webHidden/>
              </w:rPr>
              <w:t>19</w:t>
            </w:r>
            <w:r w:rsidR="00D024D7">
              <w:rPr>
                <w:webHidden/>
              </w:rPr>
              <w:fldChar w:fldCharType="end"/>
            </w:r>
          </w:hyperlink>
        </w:p>
        <w:p w:rsidR="00D024D7" w:rsidRDefault="00FF6BC6">
          <w:pPr>
            <w:pStyle w:val="TOC1"/>
            <w:rPr>
              <w:rFonts w:cstheme="minorBidi"/>
              <w:bCs w:val="0"/>
              <w:szCs w:val="22"/>
              <w:lang w:eastAsia="lv-LV"/>
            </w:rPr>
          </w:pPr>
          <w:hyperlink w:anchor="_Toc51146318" w:history="1">
            <w:r w:rsidR="00D024D7" w:rsidRPr="00E84871">
              <w:rPr>
                <w:rStyle w:val="Hyperlink"/>
                <w:rFonts w:ascii="Calibri" w:hAnsi="Calibri" w:cs="Calibri"/>
                <w:b/>
              </w:rPr>
              <w:t>Bīstamo kravu konsultantu (padomnieku) darbība</w:t>
            </w:r>
            <w:r w:rsidR="00D024D7">
              <w:rPr>
                <w:webHidden/>
              </w:rPr>
              <w:tab/>
            </w:r>
            <w:r w:rsidR="00D024D7">
              <w:rPr>
                <w:webHidden/>
              </w:rPr>
              <w:fldChar w:fldCharType="begin"/>
            </w:r>
            <w:r w:rsidR="00D024D7">
              <w:rPr>
                <w:webHidden/>
              </w:rPr>
              <w:instrText xml:space="preserve"> PAGEREF _Toc51146318 \h </w:instrText>
            </w:r>
            <w:r w:rsidR="00D024D7">
              <w:rPr>
                <w:webHidden/>
              </w:rPr>
            </w:r>
            <w:r w:rsidR="00D024D7">
              <w:rPr>
                <w:webHidden/>
              </w:rPr>
              <w:fldChar w:fldCharType="separate"/>
            </w:r>
            <w:r w:rsidR="00D024D7">
              <w:rPr>
                <w:webHidden/>
              </w:rPr>
              <w:t>20</w:t>
            </w:r>
            <w:r w:rsidR="00D024D7">
              <w:rPr>
                <w:webHidden/>
              </w:rPr>
              <w:fldChar w:fldCharType="end"/>
            </w:r>
          </w:hyperlink>
        </w:p>
        <w:p w:rsidR="00D024D7" w:rsidRDefault="00FF6BC6">
          <w:pPr>
            <w:pStyle w:val="TOC1"/>
            <w:rPr>
              <w:rFonts w:cstheme="minorBidi"/>
              <w:bCs w:val="0"/>
              <w:szCs w:val="22"/>
              <w:lang w:eastAsia="lv-LV"/>
            </w:rPr>
          </w:pPr>
          <w:hyperlink w:anchor="_Toc51146319" w:history="1">
            <w:r w:rsidR="00D024D7" w:rsidRPr="00E84871">
              <w:rPr>
                <w:rStyle w:val="Hyperlink"/>
                <w:rFonts w:ascii="Calibri" w:hAnsi="Calibri" w:cs="Calibri"/>
                <w:b/>
              </w:rPr>
              <w:t>Riska novērtēšana</w:t>
            </w:r>
            <w:r w:rsidR="00D024D7">
              <w:rPr>
                <w:webHidden/>
              </w:rPr>
              <w:tab/>
            </w:r>
            <w:r w:rsidR="00D024D7">
              <w:rPr>
                <w:webHidden/>
              </w:rPr>
              <w:fldChar w:fldCharType="begin"/>
            </w:r>
            <w:r w:rsidR="00D024D7">
              <w:rPr>
                <w:webHidden/>
              </w:rPr>
              <w:instrText xml:space="preserve"> PAGEREF _Toc51146319 \h </w:instrText>
            </w:r>
            <w:r w:rsidR="00D024D7">
              <w:rPr>
                <w:webHidden/>
              </w:rPr>
            </w:r>
            <w:r w:rsidR="00D024D7">
              <w:rPr>
                <w:webHidden/>
              </w:rPr>
              <w:fldChar w:fldCharType="separate"/>
            </w:r>
            <w:r w:rsidR="00D024D7">
              <w:rPr>
                <w:webHidden/>
              </w:rPr>
              <w:t>20</w:t>
            </w:r>
            <w:r w:rsidR="00D024D7">
              <w:rPr>
                <w:webHidden/>
              </w:rPr>
              <w:fldChar w:fldCharType="end"/>
            </w:r>
          </w:hyperlink>
        </w:p>
        <w:p w:rsidR="00D024D7" w:rsidRDefault="00FF6BC6">
          <w:pPr>
            <w:pStyle w:val="TOC1"/>
            <w:rPr>
              <w:rFonts w:cstheme="minorBidi"/>
              <w:bCs w:val="0"/>
              <w:szCs w:val="22"/>
              <w:lang w:eastAsia="lv-LV"/>
            </w:rPr>
          </w:pPr>
          <w:hyperlink w:anchor="_Toc51146320" w:history="1">
            <w:r w:rsidR="00D024D7" w:rsidRPr="00E84871">
              <w:rPr>
                <w:rStyle w:val="Hyperlink"/>
                <w:rFonts w:ascii="Calibri" w:hAnsi="Calibri" w:cs="Calibri"/>
                <w:b/>
              </w:rPr>
              <w:t>Rail Baltica</w:t>
            </w:r>
            <w:r w:rsidR="00D024D7">
              <w:rPr>
                <w:webHidden/>
              </w:rPr>
              <w:tab/>
            </w:r>
            <w:r w:rsidR="00D024D7">
              <w:rPr>
                <w:webHidden/>
              </w:rPr>
              <w:fldChar w:fldCharType="begin"/>
            </w:r>
            <w:r w:rsidR="00D024D7">
              <w:rPr>
                <w:webHidden/>
              </w:rPr>
              <w:instrText xml:space="preserve"> PAGEREF _Toc51146320 \h </w:instrText>
            </w:r>
            <w:r w:rsidR="00D024D7">
              <w:rPr>
                <w:webHidden/>
              </w:rPr>
            </w:r>
            <w:r w:rsidR="00D024D7">
              <w:rPr>
                <w:webHidden/>
              </w:rPr>
              <w:fldChar w:fldCharType="separate"/>
            </w:r>
            <w:r w:rsidR="00D024D7">
              <w:rPr>
                <w:webHidden/>
              </w:rPr>
              <w:t>21</w:t>
            </w:r>
            <w:r w:rsidR="00D024D7">
              <w:rPr>
                <w:webHidden/>
              </w:rPr>
              <w:fldChar w:fldCharType="end"/>
            </w:r>
          </w:hyperlink>
        </w:p>
        <w:p w:rsidR="00D024D7" w:rsidRDefault="00FF6BC6">
          <w:pPr>
            <w:pStyle w:val="TOC1"/>
            <w:rPr>
              <w:rFonts w:cstheme="minorBidi"/>
              <w:bCs w:val="0"/>
              <w:szCs w:val="22"/>
              <w:lang w:eastAsia="lv-LV"/>
            </w:rPr>
          </w:pPr>
          <w:hyperlink w:anchor="_Toc51146321" w:history="1">
            <w:r w:rsidR="00D024D7" w:rsidRPr="00E84871">
              <w:rPr>
                <w:rStyle w:val="Hyperlink"/>
                <w:rFonts w:ascii="Calibri" w:hAnsi="Calibri" w:cs="Calibri"/>
                <w:b/>
              </w:rPr>
              <w:t>Drošības kultūra</w:t>
            </w:r>
            <w:r w:rsidR="00D024D7">
              <w:rPr>
                <w:webHidden/>
              </w:rPr>
              <w:tab/>
            </w:r>
            <w:r w:rsidR="00D024D7">
              <w:rPr>
                <w:webHidden/>
              </w:rPr>
              <w:fldChar w:fldCharType="begin"/>
            </w:r>
            <w:r w:rsidR="00D024D7">
              <w:rPr>
                <w:webHidden/>
              </w:rPr>
              <w:instrText xml:space="preserve"> PAGEREF _Toc51146321 \h </w:instrText>
            </w:r>
            <w:r w:rsidR="00D024D7">
              <w:rPr>
                <w:webHidden/>
              </w:rPr>
            </w:r>
            <w:r w:rsidR="00D024D7">
              <w:rPr>
                <w:webHidden/>
              </w:rPr>
              <w:fldChar w:fldCharType="separate"/>
            </w:r>
            <w:r w:rsidR="00D024D7">
              <w:rPr>
                <w:webHidden/>
              </w:rPr>
              <w:t>21</w:t>
            </w:r>
            <w:r w:rsidR="00D024D7">
              <w:rPr>
                <w:webHidden/>
              </w:rPr>
              <w:fldChar w:fldCharType="end"/>
            </w:r>
          </w:hyperlink>
        </w:p>
        <w:p w:rsidR="00990E0F" w:rsidRDefault="00990E0F">
          <w:r w:rsidRPr="00990E0F">
            <w:rPr>
              <w:rFonts w:cstheme="minorHAnsi"/>
              <w:bCs/>
              <w:noProof/>
              <w:color w:val="auto"/>
              <w:sz w:val="24"/>
              <w:szCs w:val="24"/>
            </w:rPr>
            <w:fldChar w:fldCharType="end"/>
          </w:r>
        </w:p>
      </w:sdtContent>
    </w:sdt>
    <w:p w:rsidR="0096798B" w:rsidRPr="00580E74" w:rsidRDefault="0096798B" w:rsidP="0096798B">
      <w:pPr>
        <w:rPr>
          <w:color w:val="auto"/>
          <w:lang w:val="lv-LV"/>
        </w:rPr>
        <w:sectPr w:rsidR="0096798B" w:rsidRPr="00580E74" w:rsidSect="003864FB">
          <w:headerReference w:type="default" r:id="rId13"/>
          <w:pgSz w:w="12240" w:h="15840" w:code="1"/>
          <w:pgMar w:top="1080" w:right="1440" w:bottom="1080" w:left="1440" w:header="720" w:footer="576" w:gutter="0"/>
          <w:pgNumType w:start="0"/>
          <w:cols w:space="720"/>
          <w:titlePg/>
          <w:docGrid w:linePitch="360"/>
        </w:sectPr>
      </w:pPr>
    </w:p>
    <w:p w:rsidR="00EE0A83" w:rsidRPr="00D41F65" w:rsidRDefault="00EE0A83" w:rsidP="00E522A0">
      <w:pPr>
        <w:pStyle w:val="Heading1"/>
        <w:pBdr>
          <w:bottom w:val="single" w:sz="4" w:space="1" w:color="auto"/>
        </w:pBdr>
        <w:spacing w:after="240"/>
        <w:ind w:left="851"/>
        <w:rPr>
          <w:rFonts w:asciiTheme="minorHAnsi" w:hAnsiTheme="minorHAnsi" w:cstheme="minorHAnsi"/>
          <w:b/>
          <w:color w:val="auto"/>
          <w:sz w:val="24"/>
          <w:lang w:val="lv-LV"/>
        </w:rPr>
      </w:pPr>
      <w:bookmarkStart w:id="1" w:name="_Toc51146294"/>
      <w:r w:rsidRPr="00D41F65">
        <w:rPr>
          <w:rFonts w:asciiTheme="minorHAnsi" w:hAnsiTheme="minorHAnsi" w:cstheme="minorHAnsi"/>
          <w:b/>
          <w:color w:val="auto"/>
          <w:sz w:val="24"/>
          <w:lang w:val="lv-LV"/>
        </w:rPr>
        <w:lastRenderedPageBreak/>
        <w:t>Pārskata saturs</w:t>
      </w:r>
      <w:bookmarkEnd w:id="1"/>
    </w:p>
    <w:p w:rsidR="00736DF2" w:rsidRDefault="00736DF2" w:rsidP="00736DF2">
      <w:pPr>
        <w:pStyle w:val="Header"/>
        <w:tabs>
          <w:tab w:val="clear" w:pos="4680"/>
          <w:tab w:val="center" w:pos="851"/>
        </w:tabs>
        <w:spacing w:after="240"/>
        <w:jc w:val="both"/>
        <w:rPr>
          <w:rFonts w:cstheme="minorHAnsi"/>
          <w:color w:val="auto"/>
          <w:sz w:val="22"/>
          <w:lang w:val="lv-LV"/>
        </w:rPr>
      </w:pPr>
      <w:r>
        <w:rPr>
          <w:rFonts w:cstheme="minorHAnsi"/>
          <w:color w:val="auto"/>
          <w:sz w:val="22"/>
          <w:lang w:val="lv-LV"/>
        </w:rPr>
        <w:tab/>
      </w:r>
      <w:r>
        <w:rPr>
          <w:rFonts w:cstheme="minorHAnsi"/>
          <w:color w:val="auto"/>
          <w:sz w:val="22"/>
          <w:lang w:val="lv-LV"/>
        </w:rPr>
        <w:tab/>
      </w:r>
      <w:r w:rsidRPr="006006BD">
        <w:rPr>
          <w:rFonts w:cstheme="minorHAnsi"/>
          <w:color w:val="auto"/>
          <w:sz w:val="22"/>
          <w:lang w:val="lv-LV"/>
        </w:rPr>
        <w:t xml:space="preserve">Dzelzceļa tehniskās ekspluatācijas kontroli un uzraudzību Latvijā veic </w:t>
      </w:r>
      <w:r w:rsidR="00B93BB9">
        <w:rPr>
          <w:rFonts w:cstheme="minorHAnsi"/>
          <w:color w:val="auto"/>
          <w:sz w:val="22"/>
          <w:lang w:val="lv-LV"/>
        </w:rPr>
        <w:t>Valsts dzelzceļa tehniskā</w:t>
      </w:r>
      <w:r w:rsidR="00B93BB9" w:rsidRPr="006006BD">
        <w:rPr>
          <w:rFonts w:cstheme="minorHAnsi"/>
          <w:color w:val="auto"/>
          <w:sz w:val="22"/>
          <w:lang w:val="lv-LV"/>
        </w:rPr>
        <w:t xml:space="preserve"> </w:t>
      </w:r>
      <w:r w:rsidR="00B93BB9">
        <w:rPr>
          <w:rFonts w:cstheme="minorHAnsi"/>
          <w:color w:val="auto"/>
          <w:sz w:val="22"/>
          <w:lang w:val="lv-LV"/>
        </w:rPr>
        <w:t>inspekcija</w:t>
      </w:r>
      <w:r w:rsidR="00B93BB9" w:rsidRPr="006006BD">
        <w:rPr>
          <w:rFonts w:cstheme="minorHAnsi"/>
          <w:color w:val="auto"/>
          <w:sz w:val="22"/>
          <w:lang w:val="lv-LV"/>
        </w:rPr>
        <w:t xml:space="preserve"> (turpmāk - VDzTI)</w:t>
      </w:r>
      <w:r w:rsidRPr="006006BD">
        <w:rPr>
          <w:rFonts w:cstheme="minorHAnsi"/>
          <w:color w:val="auto"/>
          <w:sz w:val="22"/>
          <w:lang w:val="lv-LV"/>
        </w:rPr>
        <w:t>, kura organizatoriski, juridiski un lēmumu pieņemšanā ir neatkarīga no pārvadātājiem, dzelzceļa infrastruktūras pārvaldītājiem, un dzelzceļa publisko iepirkumu izpildītājiem</w:t>
      </w:r>
      <w:r w:rsidRPr="006006BD">
        <w:rPr>
          <w:rStyle w:val="FootnoteReference"/>
          <w:rFonts w:cstheme="minorHAnsi"/>
          <w:color w:val="auto"/>
          <w:sz w:val="22"/>
          <w:lang w:val="lv-LV"/>
        </w:rPr>
        <w:footnoteReference w:id="1"/>
      </w:r>
      <w:r w:rsidRPr="006006BD">
        <w:rPr>
          <w:rFonts w:cstheme="minorHAnsi"/>
          <w:color w:val="auto"/>
          <w:sz w:val="22"/>
          <w:lang w:val="lv-LV"/>
        </w:rPr>
        <w:t xml:space="preserve">. VDzTI funkciju realizācija ir cieši regulēta ar ES normatīviem aktiem.  </w:t>
      </w:r>
    </w:p>
    <w:p w:rsidR="00EE0A83" w:rsidRPr="00736DF2" w:rsidRDefault="00EE0A83" w:rsidP="00EE0A83">
      <w:pPr>
        <w:spacing w:after="240" w:line="240" w:lineRule="auto"/>
        <w:ind w:firstLine="720"/>
        <w:jc w:val="both"/>
        <w:rPr>
          <w:rFonts w:cstheme="minorHAnsi"/>
          <w:color w:val="auto"/>
          <w:sz w:val="22"/>
          <w:lang w:val="lv-LV"/>
        </w:rPr>
      </w:pPr>
      <w:r w:rsidRPr="006006BD">
        <w:rPr>
          <w:rFonts w:cstheme="minorHAnsi"/>
          <w:color w:val="auto"/>
          <w:sz w:val="22"/>
          <w:lang w:val="lv-LV"/>
        </w:rPr>
        <w:t xml:space="preserve">Pārskata mērķis ir atainot paveikto un sasniegtos rezultātus 2019.gadā. Pārskatā ir analizēti VDzTI sasniegtie rezultāti ar VDzTI stratēģijās noteikto, ņemot </w:t>
      </w:r>
      <w:r w:rsidRPr="00736DF2">
        <w:rPr>
          <w:rFonts w:cstheme="minorHAnsi"/>
          <w:color w:val="auto"/>
          <w:sz w:val="22"/>
          <w:lang w:val="lv-LV"/>
        </w:rPr>
        <w:t xml:space="preserve">vērā galvenos iekšējos un ārējos faktorus, kas ir ietekmējuši </w:t>
      </w:r>
      <w:r w:rsidR="003864FB" w:rsidRPr="00736DF2">
        <w:rPr>
          <w:rFonts w:cstheme="minorHAnsi"/>
          <w:color w:val="auto"/>
          <w:sz w:val="22"/>
          <w:lang w:val="lv-LV"/>
        </w:rPr>
        <w:t>iestādes</w:t>
      </w:r>
      <w:r w:rsidRPr="00736DF2">
        <w:rPr>
          <w:rFonts w:cstheme="minorHAnsi"/>
          <w:color w:val="auto"/>
          <w:sz w:val="22"/>
          <w:lang w:val="lv-LV"/>
        </w:rPr>
        <w:t xml:space="preserve"> darbu.</w:t>
      </w:r>
    </w:p>
    <w:p w:rsidR="006049B0" w:rsidRPr="00736DF2" w:rsidRDefault="006049B0" w:rsidP="006049B0">
      <w:pPr>
        <w:spacing w:after="0" w:line="240" w:lineRule="auto"/>
        <w:ind w:firstLine="720"/>
        <w:jc w:val="both"/>
        <w:rPr>
          <w:rFonts w:cstheme="minorHAnsi"/>
          <w:color w:val="auto"/>
          <w:sz w:val="22"/>
          <w:lang w:val="lv-LV"/>
        </w:rPr>
      </w:pPr>
      <w:r w:rsidRPr="00736DF2">
        <w:rPr>
          <w:rFonts w:cstheme="minorHAnsi"/>
          <w:color w:val="auto"/>
          <w:sz w:val="22"/>
          <w:lang w:val="lv-LV"/>
        </w:rPr>
        <w:t>Pārskatā apkopotā veidā ir publicēta informācija par VDzTI darbību u</w:t>
      </w:r>
      <w:r w:rsidR="00B93BB9">
        <w:rPr>
          <w:rFonts w:cstheme="minorHAnsi"/>
          <w:color w:val="auto"/>
          <w:sz w:val="22"/>
          <w:lang w:val="lv-LV"/>
        </w:rPr>
        <w:t>n sasniegtajiem rezultātiem 2019</w:t>
      </w:r>
      <w:r w:rsidRPr="00736DF2">
        <w:rPr>
          <w:rFonts w:cstheme="minorHAnsi"/>
          <w:color w:val="auto"/>
          <w:sz w:val="22"/>
          <w:lang w:val="lv-LV"/>
        </w:rPr>
        <w:t>.gadā. Pārskats ietver šādu informāciju:</w:t>
      </w:r>
    </w:p>
    <w:p w:rsidR="006049B0" w:rsidRPr="00736DF2" w:rsidRDefault="006049B0" w:rsidP="006049B0">
      <w:pPr>
        <w:tabs>
          <w:tab w:val="left" w:pos="1134"/>
        </w:tabs>
        <w:spacing w:after="0" w:line="240" w:lineRule="auto"/>
        <w:ind w:firstLine="720"/>
        <w:jc w:val="both"/>
        <w:rPr>
          <w:rFonts w:cstheme="minorHAnsi"/>
          <w:color w:val="auto"/>
          <w:sz w:val="22"/>
          <w:lang w:val="lv-LV"/>
        </w:rPr>
      </w:pPr>
      <w:r w:rsidRPr="00736DF2">
        <w:rPr>
          <w:rFonts w:cstheme="minorHAnsi"/>
          <w:color w:val="auto"/>
          <w:sz w:val="22"/>
          <w:lang w:val="lv-LV"/>
        </w:rPr>
        <w:t>-    kustības drošības stāvokļa novērtējums;</w:t>
      </w:r>
    </w:p>
    <w:p w:rsidR="006049B0" w:rsidRPr="00736DF2" w:rsidRDefault="006049B0"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tendences kustības drošības jomā;</w:t>
      </w:r>
    </w:p>
    <w:p w:rsidR="006049B0" w:rsidRPr="00736DF2" w:rsidRDefault="006049B0"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datu analīze;</w:t>
      </w:r>
    </w:p>
    <w:p w:rsidR="006049B0" w:rsidRPr="00736DF2" w:rsidRDefault="006049B0"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uzraudzības procesi;</w:t>
      </w:r>
    </w:p>
    <w:p w:rsidR="006049B0" w:rsidRPr="00736DF2" w:rsidRDefault="006049B0"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sertificēšana, u.c.</w:t>
      </w:r>
    </w:p>
    <w:p w:rsidR="00EE0A83" w:rsidRPr="00736DF2" w:rsidRDefault="006049B0" w:rsidP="006049B0">
      <w:pPr>
        <w:spacing w:before="240" w:after="0" w:line="240" w:lineRule="auto"/>
        <w:ind w:firstLine="720"/>
        <w:jc w:val="both"/>
        <w:rPr>
          <w:rFonts w:cstheme="minorHAnsi"/>
          <w:color w:val="auto"/>
          <w:sz w:val="22"/>
          <w:lang w:val="lv-LV"/>
        </w:rPr>
      </w:pPr>
      <w:r w:rsidRPr="00736DF2">
        <w:rPr>
          <w:rFonts w:cstheme="minorHAnsi"/>
          <w:color w:val="auto"/>
          <w:sz w:val="22"/>
          <w:lang w:val="lv-LV"/>
        </w:rPr>
        <w:t>Šo pārskatu ir sagatavojusi VDZTI,  saskaņā ar Dzelzceļa likuma 33.panta</w:t>
      </w:r>
      <w:r w:rsidRPr="00736DF2">
        <w:rPr>
          <w:color w:val="auto"/>
          <w:lang w:val="lv-LV"/>
        </w:rPr>
        <w:t xml:space="preserve"> (3</w:t>
      </w:r>
      <w:r w:rsidRPr="00736DF2">
        <w:rPr>
          <w:color w:val="auto"/>
          <w:vertAlign w:val="superscript"/>
          <w:lang w:val="lv-LV"/>
        </w:rPr>
        <w:t>2.</w:t>
      </w:r>
      <w:r w:rsidRPr="00736DF2">
        <w:rPr>
          <w:color w:val="auto"/>
          <w:lang w:val="lv-LV"/>
        </w:rPr>
        <w:t>)</w:t>
      </w:r>
      <w:r w:rsidRPr="00736DF2">
        <w:rPr>
          <w:rFonts w:cstheme="minorHAnsi"/>
          <w:color w:val="auto"/>
          <w:sz w:val="22"/>
          <w:lang w:val="lv-LV"/>
        </w:rPr>
        <w:t xml:space="preserve"> daļu un   02.06.2020. Ministru kabineta noteikumu Nr.334 „Dzelzceļa satiksmes negadījumu klasifikācijas, izmeklēšanas un uzskaites kārtība” 58.punktu, ar mērķi informēt par kustības drošības līmeni un procesiem dzelzceļa </w:t>
      </w:r>
      <w:r w:rsidR="00736DF2" w:rsidRPr="00736DF2">
        <w:rPr>
          <w:rFonts w:cstheme="minorHAnsi"/>
          <w:color w:val="auto"/>
          <w:sz w:val="22"/>
          <w:lang w:val="lv-LV"/>
        </w:rPr>
        <w:t>transportā. Pārskats tiek publicēts VDzTI tī</w:t>
      </w:r>
      <w:r w:rsidR="00B93BB9">
        <w:rPr>
          <w:rFonts w:cstheme="minorHAnsi"/>
          <w:color w:val="auto"/>
          <w:sz w:val="22"/>
          <w:lang w:val="lv-LV"/>
        </w:rPr>
        <w:t>mekļvietnē www.vdzti.gov.lv.</w:t>
      </w:r>
    </w:p>
    <w:p w:rsidR="007C5623" w:rsidRPr="00736DF2" w:rsidRDefault="007C5623" w:rsidP="006049B0">
      <w:pPr>
        <w:spacing w:before="240" w:after="0" w:line="240" w:lineRule="auto"/>
        <w:ind w:firstLine="720"/>
        <w:jc w:val="both"/>
        <w:rPr>
          <w:rFonts w:cstheme="minorHAnsi"/>
          <w:color w:val="auto"/>
          <w:sz w:val="22"/>
          <w:lang w:val="lv-LV"/>
        </w:rPr>
      </w:pPr>
      <w:r w:rsidRPr="00736DF2">
        <w:rPr>
          <w:rFonts w:cstheme="minorHAnsi"/>
          <w:color w:val="auto"/>
          <w:sz w:val="22"/>
          <w:lang w:val="lv-LV"/>
        </w:rPr>
        <w:t>Pārskata sagatavošanā ir izmantoti šādi informācijas avoti:</w:t>
      </w:r>
    </w:p>
    <w:p w:rsidR="007C5623" w:rsidRPr="00736DF2" w:rsidRDefault="007C5623"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VDZTI uzskaites reģistri un sistēmas;</w:t>
      </w:r>
    </w:p>
    <w:p w:rsidR="007C5623" w:rsidRPr="00736DF2" w:rsidRDefault="006049B0"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VDzTI darbības plāns 2019</w:t>
      </w:r>
      <w:r w:rsidR="007C5623" w:rsidRPr="00736DF2">
        <w:rPr>
          <w:rFonts w:cstheme="minorHAnsi"/>
          <w:color w:val="auto"/>
          <w:sz w:val="22"/>
          <w:lang w:val="lv-LV"/>
        </w:rPr>
        <w:t>.gadam (</w:t>
      </w:r>
      <w:r w:rsidRPr="00736DF2">
        <w:rPr>
          <w:rFonts w:cstheme="minorHAnsi"/>
          <w:color w:val="auto"/>
          <w:sz w:val="22"/>
          <w:lang w:val="lv-LV"/>
        </w:rPr>
        <w:t>2019.</w:t>
      </w:r>
      <w:r w:rsidR="007C5623" w:rsidRPr="00736DF2">
        <w:rPr>
          <w:rFonts w:cstheme="minorHAnsi"/>
          <w:color w:val="auto"/>
          <w:sz w:val="22"/>
          <w:lang w:val="lv-LV"/>
        </w:rPr>
        <w:t>gada 24.februāris);</w:t>
      </w:r>
    </w:p>
    <w:p w:rsidR="007C5623" w:rsidRPr="00736DF2" w:rsidRDefault="007C5623"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VDzTI darbības stratēģija 2017.–2019.gadam (apstiprināta ar satiksmes ministra 2017.gada 8.septembra rīkojumu Nr.01-03/133);</w:t>
      </w:r>
    </w:p>
    <w:p w:rsidR="007C5623" w:rsidRPr="00736DF2" w:rsidRDefault="007C5623"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VDZTI uzraudzības stratēģija 2017.–2019.gadam (apstiprināta 11.09.2017.);</w:t>
      </w:r>
    </w:p>
    <w:p w:rsidR="007C5623" w:rsidRPr="00736DF2" w:rsidRDefault="007C5623"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t>Transporta attīstības pamatnostādnes 2014.-2020.gadam (Ministru kabineta 2013.gad</w:t>
      </w:r>
      <w:r w:rsidR="006049B0" w:rsidRPr="00736DF2">
        <w:rPr>
          <w:rFonts w:cstheme="minorHAnsi"/>
          <w:color w:val="auto"/>
          <w:sz w:val="22"/>
          <w:lang w:val="lv-LV"/>
        </w:rPr>
        <w:t>a 27.decembra rīkojums Nr. 683).</w:t>
      </w:r>
    </w:p>
    <w:p w:rsidR="006049B0" w:rsidRPr="00736DF2" w:rsidRDefault="007C5623" w:rsidP="006049B0">
      <w:pPr>
        <w:tabs>
          <w:tab w:val="left" w:pos="993"/>
        </w:tabs>
        <w:spacing w:after="0" w:line="240" w:lineRule="auto"/>
        <w:ind w:firstLine="720"/>
        <w:jc w:val="both"/>
        <w:rPr>
          <w:rFonts w:cstheme="minorHAnsi"/>
          <w:color w:val="auto"/>
          <w:sz w:val="22"/>
          <w:lang w:val="lv-LV"/>
        </w:rPr>
      </w:pPr>
      <w:r w:rsidRPr="00736DF2">
        <w:rPr>
          <w:rFonts w:cstheme="minorHAnsi"/>
          <w:color w:val="auto"/>
          <w:sz w:val="22"/>
          <w:lang w:val="lv-LV"/>
        </w:rPr>
        <w:t>-</w:t>
      </w:r>
      <w:r w:rsidRPr="00736DF2">
        <w:rPr>
          <w:rFonts w:cstheme="minorHAnsi"/>
          <w:color w:val="auto"/>
          <w:sz w:val="22"/>
          <w:lang w:val="lv-LV"/>
        </w:rPr>
        <w:tab/>
      </w:r>
      <w:r w:rsidR="006049B0" w:rsidRPr="00736DF2">
        <w:rPr>
          <w:rFonts w:cstheme="minorHAnsi"/>
          <w:color w:val="auto"/>
          <w:sz w:val="22"/>
          <w:lang w:val="lv-LV"/>
        </w:rPr>
        <w:t>u.c.</w:t>
      </w:r>
    </w:p>
    <w:p w:rsidR="007C5623" w:rsidRPr="00D41F65" w:rsidRDefault="007C5623" w:rsidP="006049B0">
      <w:pPr>
        <w:tabs>
          <w:tab w:val="left" w:pos="993"/>
        </w:tabs>
        <w:spacing w:after="0" w:line="240" w:lineRule="auto"/>
        <w:ind w:firstLine="720"/>
        <w:jc w:val="both"/>
        <w:rPr>
          <w:rFonts w:cstheme="minorHAnsi"/>
          <w:color w:val="auto"/>
          <w:sz w:val="18"/>
          <w:lang w:val="lv-LV"/>
        </w:rPr>
      </w:pPr>
    </w:p>
    <w:p w:rsidR="00EC15EE" w:rsidRPr="00D41F65" w:rsidRDefault="000A7146" w:rsidP="00E522A0">
      <w:pPr>
        <w:pStyle w:val="Header"/>
        <w:pBdr>
          <w:bottom w:val="single" w:sz="4" w:space="1" w:color="auto"/>
        </w:pBdr>
        <w:tabs>
          <w:tab w:val="clear" w:pos="4680"/>
          <w:tab w:val="center" w:pos="851"/>
        </w:tabs>
        <w:spacing w:after="240"/>
        <w:ind w:left="567"/>
        <w:jc w:val="both"/>
        <w:rPr>
          <w:rFonts w:ascii="Calibri" w:hAnsi="Calibri" w:cs="Calibri"/>
          <w:b/>
          <w:color w:val="auto"/>
          <w:sz w:val="24"/>
          <w:lang w:val="lv-LV"/>
        </w:rPr>
      </w:pPr>
      <w:r w:rsidRPr="00D41F65">
        <w:rPr>
          <w:rFonts w:cstheme="minorHAnsi"/>
          <w:color w:val="auto"/>
          <w:sz w:val="18"/>
          <w:lang w:val="lv-LV"/>
        </w:rPr>
        <w:tab/>
      </w:r>
      <w:bookmarkStart w:id="2" w:name="_Toc19108594"/>
      <w:r w:rsidR="00EC15EE" w:rsidRPr="00D41F65">
        <w:rPr>
          <w:rFonts w:ascii="Calibri" w:hAnsi="Calibri" w:cs="Calibri"/>
          <w:b/>
          <w:color w:val="auto"/>
          <w:sz w:val="24"/>
          <w:lang w:val="lv-LV"/>
        </w:rPr>
        <w:t>Pārskata kopsavilkums</w:t>
      </w:r>
      <w:bookmarkEnd w:id="2"/>
    </w:p>
    <w:p w:rsidR="00712F58" w:rsidRDefault="00712F58" w:rsidP="00712F58">
      <w:pPr>
        <w:spacing w:after="240" w:line="240" w:lineRule="auto"/>
        <w:ind w:firstLine="720"/>
        <w:jc w:val="both"/>
        <w:rPr>
          <w:rFonts w:cstheme="minorHAnsi"/>
          <w:bCs/>
          <w:color w:val="auto"/>
          <w:sz w:val="22"/>
          <w:szCs w:val="22"/>
          <w:lang w:val="lv-LV"/>
        </w:rPr>
      </w:pPr>
      <w:r>
        <w:rPr>
          <w:rFonts w:cstheme="minorHAnsi"/>
          <w:color w:val="auto"/>
          <w:sz w:val="22"/>
          <w:lang w:val="lv-LV"/>
        </w:rPr>
        <w:t>Pārskats ataino VDzTI rīcību 2019.gadā. I</w:t>
      </w:r>
      <w:r w:rsidRPr="006006BD">
        <w:rPr>
          <w:rFonts w:cstheme="minorHAnsi"/>
          <w:color w:val="auto"/>
          <w:sz w:val="22"/>
          <w:lang w:val="lv-LV"/>
        </w:rPr>
        <w:t xml:space="preserve">r analizēti VDzTI sasniegtie rezultāti ar VDzTI stratēģijās noteikto, ņemot </w:t>
      </w:r>
      <w:r w:rsidRPr="00736DF2">
        <w:rPr>
          <w:rFonts w:cstheme="minorHAnsi"/>
          <w:color w:val="auto"/>
          <w:sz w:val="22"/>
          <w:lang w:val="lv-LV"/>
        </w:rPr>
        <w:t>vērā galvenos iekšējos un ārējos faktorus, kas ir ietekmējuši iestādes</w:t>
      </w:r>
      <w:r>
        <w:rPr>
          <w:rFonts w:cstheme="minorHAnsi"/>
          <w:color w:val="auto"/>
          <w:sz w:val="22"/>
          <w:lang w:val="lv-LV"/>
        </w:rPr>
        <w:t xml:space="preserve">  un dzelzceļa transporta nozares darbību. </w:t>
      </w:r>
    </w:p>
    <w:p w:rsidR="00712F58" w:rsidRPr="006006BD" w:rsidRDefault="00712F58" w:rsidP="00712F58">
      <w:pPr>
        <w:spacing w:after="240" w:line="240" w:lineRule="auto"/>
        <w:ind w:firstLine="720"/>
        <w:jc w:val="both"/>
        <w:rPr>
          <w:rFonts w:cstheme="minorHAnsi"/>
          <w:bCs/>
          <w:color w:val="auto"/>
          <w:sz w:val="22"/>
          <w:szCs w:val="22"/>
          <w:lang w:val="lv-LV"/>
        </w:rPr>
      </w:pPr>
      <w:r w:rsidRPr="006006BD">
        <w:rPr>
          <w:rFonts w:cstheme="minorHAnsi"/>
          <w:bCs/>
          <w:color w:val="auto"/>
          <w:sz w:val="22"/>
          <w:szCs w:val="22"/>
          <w:lang w:val="lv-LV"/>
        </w:rPr>
        <w:t>Eiropas Komisijas Baltajā grāmatā par transportu un tās politikas mērķiem attiecībā uz dzelzceļiem ir noteikta mērķu apakšgrupa “Vienotas Eiropas dzelzceļa tel</w:t>
      </w:r>
      <w:r>
        <w:rPr>
          <w:rFonts w:cstheme="minorHAnsi"/>
          <w:bCs/>
          <w:color w:val="auto"/>
          <w:sz w:val="22"/>
          <w:szCs w:val="22"/>
          <w:lang w:val="lv-LV"/>
        </w:rPr>
        <w:t>pas” izveide, uzlabojot tehnisku</w:t>
      </w:r>
      <w:r w:rsidRPr="006006BD">
        <w:rPr>
          <w:rFonts w:cstheme="minorHAnsi"/>
          <w:bCs/>
          <w:color w:val="auto"/>
          <w:sz w:val="22"/>
          <w:szCs w:val="22"/>
          <w:lang w:val="lv-LV"/>
        </w:rPr>
        <w:t xml:space="preserve"> savstarpēju izmantojamību un veidojot kopēju pieeju drošībai ES dzelzceļa sistēmā.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712F58" w:rsidRPr="00FF6BC6" w:rsidTr="000A5A9A">
        <w:tc>
          <w:tcPr>
            <w:tcW w:w="421" w:type="dxa"/>
            <w:shd w:val="clear" w:color="auto" w:fill="D9D9D9" w:themeFill="background1" w:themeFillShade="D9"/>
          </w:tcPr>
          <w:p w:rsidR="00712F58" w:rsidRPr="006006BD" w:rsidRDefault="00712F58" w:rsidP="00724A50">
            <w:pPr>
              <w:spacing w:after="0" w:line="240" w:lineRule="auto"/>
              <w:jc w:val="both"/>
              <w:rPr>
                <w:rFonts w:cstheme="minorHAnsi"/>
                <w:b/>
                <w:bCs/>
                <w:color w:val="auto"/>
                <w:sz w:val="22"/>
                <w:szCs w:val="22"/>
                <w:lang w:val="lv-LV"/>
              </w:rPr>
            </w:pPr>
            <w:r w:rsidRPr="006006BD">
              <w:rPr>
                <w:rFonts w:cstheme="minorHAnsi"/>
                <w:b/>
                <w:bCs/>
                <w:color w:val="FF0000"/>
                <w:sz w:val="44"/>
                <w:szCs w:val="22"/>
                <w:lang w:val="lv-LV"/>
              </w:rPr>
              <w:t>!</w:t>
            </w:r>
          </w:p>
        </w:tc>
        <w:tc>
          <w:tcPr>
            <w:tcW w:w="9218" w:type="dxa"/>
            <w:shd w:val="clear" w:color="auto" w:fill="D9D9D9" w:themeFill="background1" w:themeFillShade="D9"/>
            <w:vAlign w:val="center"/>
          </w:tcPr>
          <w:p w:rsidR="00712F58" w:rsidRPr="005C63E4" w:rsidRDefault="00712F58" w:rsidP="000A5A9A">
            <w:pPr>
              <w:spacing w:after="0" w:line="240" w:lineRule="auto"/>
              <w:rPr>
                <w:rFonts w:cstheme="minorHAnsi"/>
                <w:b/>
                <w:bCs/>
                <w:color w:val="auto"/>
                <w:sz w:val="22"/>
                <w:szCs w:val="22"/>
                <w:lang w:val="lv-LV"/>
              </w:rPr>
            </w:pPr>
            <w:r w:rsidRPr="005C63E4">
              <w:rPr>
                <w:rFonts w:cstheme="minorHAnsi"/>
                <w:b/>
                <w:bCs/>
                <w:color w:val="auto"/>
                <w:sz w:val="24"/>
                <w:szCs w:val="22"/>
                <w:lang w:val="lv-LV"/>
              </w:rPr>
              <w:t>Kopējais mērķis ir augsta drošības līmeņa uzturēšana dzelzceļa sistēmā.</w:t>
            </w:r>
          </w:p>
        </w:tc>
      </w:tr>
    </w:tbl>
    <w:p w:rsidR="00712F58" w:rsidRPr="006006BD" w:rsidRDefault="00712F58" w:rsidP="00712F58">
      <w:pPr>
        <w:spacing w:before="120" w:after="0" w:line="240" w:lineRule="auto"/>
        <w:ind w:firstLine="567"/>
        <w:jc w:val="both"/>
        <w:rPr>
          <w:rFonts w:cstheme="minorHAnsi"/>
          <w:bCs/>
          <w:color w:val="auto"/>
          <w:sz w:val="22"/>
          <w:szCs w:val="22"/>
          <w:lang w:val="lv-LV"/>
        </w:rPr>
      </w:pPr>
      <w:r w:rsidRPr="006006BD">
        <w:rPr>
          <w:rFonts w:cstheme="minorHAnsi"/>
          <w:bCs/>
          <w:color w:val="auto"/>
          <w:sz w:val="22"/>
          <w:szCs w:val="22"/>
          <w:lang w:val="lv-LV"/>
        </w:rPr>
        <w:t xml:space="preserve">Lai to sasniegtu, VDzTI uzdevums ir: </w:t>
      </w:r>
    </w:p>
    <w:p w:rsidR="00712F58" w:rsidRPr="006006BD" w:rsidRDefault="00712F58" w:rsidP="00712F58">
      <w:pPr>
        <w:pStyle w:val="ListParagraph"/>
        <w:numPr>
          <w:ilvl w:val="0"/>
          <w:numId w:val="1"/>
        </w:numPr>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t>veicināt drošus pārvadājumus;</w:t>
      </w:r>
    </w:p>
    <w:p w:rsidR="00712F58" w:rsidRPr="006006BD" w:rsidRDefault="00712F58" w:rsidP="00712F58">
      <w:pPr>
        <w:pStyle w:val="ListParagraph"/>
        <w:numPr>
          <w:ilvl w:val="0"/>
          <w:numId w:val="1"/>
        </w:numPr>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t>nodrošināt atklātu un caurspīdīgu prasību ieviešanu visiem dzelzceļa sektora dalībniekiem;</w:t>
      </w:r>
    </w:p>
    <w:p w:rsidR="00712F58" w:rsidRPr="006006BD" w:rsidRDefault="00712F58" w:rsidP="00712F58">
      <w:pPr>
        <w:pStyle w:val="ListParagraph"/>
        <w:numPr>
          <w:ilvl w:val="0"/>
          <w:numId w:val="1"/>
        </w:numPr>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t xml:space="preserve">nodrošināt </w:t>
      </w:r>
      <w:r w:rsidR="00B93BB9" w:rsidRPr="006006BD">
        <w:rPr>
          <w:rFonts w:asciiTheme="minorHAnsi" w:hAnsiTheme="minorHAnsi" w:cstheme="minorHAnsi"/>
          <w:bCs/>
          <w:sz w:val="22"/>
          <w:szCs w:val="22"/>
        </w:rPr>
        <w:t xml:space="preserve">ES </w:t>
      </w:r>
      <w:r w:rsidR="00B93BB9">
        <w:rPr>
          <w:rFonts w:asciiTheme="minorHAnsi" w:hAnsiTheme="minorHAnsi" w:cstheme="minorHAnsi"/>
          <w:bCs/>
          <w:sz w:val="22"/>
          <w:szCs w:val="22"/>
        </w:rPr>
        <w:t>tiesību normu prasību ieviešanu</w:t>
      </w:r>
      <w:r w:rsidRPr="006006BD">
        <w:rPr>
          <w:rFonts w:asciiTheme="minorHAnsi" w:hAnsiTheme="minorHAnsi" w:cstheme="minorHAnsi"/>
          <w:bCs/>
          <w:sz w:val="22"/>
          <w:szCs w:val="22"/>
        </w:rPr>
        <w:t xml:space="preserve"> Latvij</w:t>
      </w:r>
      <w:r w:rsidR="00B93BB9">
        <w:rPr>
          <w:rFonts w:asciiTheme="minorHAnsi" w:hAnsiTheme="minorHAnsi" w:cstheme="minorHAnsi"/>
          <w:bCs/>
          <w:sz w:val="22"/>
          <w:szCs w:val="22"/>
        </w:rPr>
        <w:t>ā</w:t>
      </w:r>
      <w:r>
        <w:rPr>
          <w:rFonts w:asciiTheme="minorHAnsi" w:hAnsiTheme="minorHAnsi" w:cstheme="minorHAnsi"/>
          <w:bCs/>
          <w:sz w:val="22"/>
          <w:szCs w:val="22"/>
        </w:rPr>
        <w:t>;</w:t>
      </w:r>
    </w:p>
    <w:p w:rsidR="00712F58" w:rsidRPr="006006BD" w:rsidRDefault="00B93BB9" w:rsidP="00712F58">
      <w:pPr>
        <w:pStyle w:val="ListParagraph"/>
        <w:numPr>
          <w:ilvl w:val="0"/>
          <w:numId w:val="1"/>
        </w:numPr>
        <w:ind w:left="0" w:firstLine="567"/>
        <w:jc w:val="both"/>
        <w:rPr>
          <w:rFonts w:asciiTheme="minorHAnsi" w:hAnsiTheme="minorHAnsi" w:cstheme="minorHAnsi"/>
          <w:bCs/>
          <w:sz w:val="22"/>
          <w:szCs w:val="22"/>
        </w:rPr>
      </w:pPr>
      <w:r>
        <w:rPr>
          <w:rFonts w:asciiTheme="minorHAnsi" w:hAnsiTheme="minorHAnsi" w:cstheme="minorHAnsi"/>
          <w:bCs/>
          <w:sz w:val="22"/>
          <w:szCs w:val="22"/>
        </w:rPr>
        <w:t>nodrošināt dzelzceļa sektora dalībnieku</w:t>
      </w:r>
      <w:r w:rsidR="00712F58" w:rsidRPr="006006BD">
        <w:rPr>
          <w:rFonts w:asciiTheme="minorHAnsi" w:hAnsiTheme="minorHAnsi" w:cstheme="minorHAnsi"/>
          <w:bCs/>
          <w:sz w:val="22"/>
          <w:szCs w:val="22"/>
        </w:rPr>
        <w:t xml:space="preserve"> darbības uzraudzīb</w:t>
      </w:r>
      <w:r>
        <w:rPr>
          <w:rFonts w:asciiTheme="minorHAnsi" w:hAnsiTheme="minorHAnsi" w:cstheme="minorHAnsi"/>
          <w:bCs/>
          <w:sz w:val="22"/>
          <w:szCs w:val="22"/>
        </w:rPr>
        <w:t>u</w:t>
      </w:r>
      <w:r w:rsidR="00712F58">
        <w:rPr>
          <w:rFonts w:asciiTheme="minorHAnsi" w:hAnsiTheme="minorHAnsi" w:cstheme="minorHAnsi"/>
          <w:bCs/>
          <w:sz w:val="22"/>
          <w:szCs w:val="22"/>
        </w:rPr>
        <w:t>;</w:t>
      </w:r>
      <w:r w:rsidR="00712F58" w:rsidRPr="006006BD">
        <w:rPr>
          <w:rFonts w:asciiTheme="minorHAnsi" w:hAnsiTheme="minorHAnsi" w:cstheme="minorHAnsi"/>
          <w:bCs/>
          <w:sz w:val="22"/>
          <w:szCs w:val="22"/>
        </w:rPr>
        <w:t xml:space="preserve"> </w:t>
      </w:r>
    </w:p>
    <w:p w:rsidR="00712F58" w:rsidRPr="006006BD" w:rsidRDefault="00712F58" w:rsidP="00712F58">
      <w:pPr>
        <w:pStyle w:val="ListParagraph"/>
        <w:numPr>
          <w:ilvl w:val="0"/>
          <w:numId w:val="1"/>
        </w:numPr>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lastRenderedPageBreak/>
        <w:t>nodrošināt vienādu</w:t>
      </w:r>
      <w:r>
        <w:rPr>
          <w:rFonts w:asciiTheme="minorHAnsi" w:hAnsiTheme="minorHAnsi" w:cstheme="minorHAnsi"/>
          <w:bCs/>
          <w:sz w:val="22"/>
          <w:szCs w:val="22"/>
        </w:rPr>
        <w:t>s</w:t>
      </w:r>
      <w:r w:rsidR="00B93BB9">
        <w:rPr>
          <w:rFonts w:asciiTheme="minorHAnsi" w:hAnsiTheme="minorHAnsi" w:cstheme="minorHAnsi"/>
          <w:bCs/>
          <w:sz w:val="22"/>
          <w:szCs w:val="22"/>
        </w:rPr>
        <w:t xml:space="preserve"> un</w:t>
      </w:r>
      <w:r w:rsidRPr="006006BD">
        <w:rPr>
          <w:rFonts w:asciiTheme="minorHAnsi" w:hAnsiTheme="minorHAnsi" w:cstheme="minorHAnsi"/>
          <w:bCs/>
          <w:sz w:val="22"/>
          <w:szCs w:val="22"/>
        </w:rPr>
        <w:t xml:space="preserve"> kvalitatīvu</w:t>
      </w:r>
      <w:r>
        <w:rPr>
          <w:rFonts w:asciiTheme="minorHAnsi" w:hAnsiTheme="minorHAnsi" w:cstheme="minorHAnsi"/>
          <w:bCs/>
          <w:sz w:val="22"/>
          <w:szCs w:val="22"/>
        </w:rPr>
        <w:t>s</w:t>
      </w:r>
      <w:r w:rsidRPr="006006BD">
        <w:rPr>
          <w:rFonts w:asciiTheme="minorHAnsi" w:hAnsiTheme="minorHAnsi" w:cstheme="minorHAnsi"/>
          <w:bCs/>
          <w:sz w:val="22"/>
          <w:szCs w:val="22"/>
        </w:rPr>
        <w:t xml:space="preserve"> pakalpojumus visiem dzelzceļa sektora dalībniekiem gan ES, gan valsts ietvaros, pastāvīgi izvērtējot un uzlabojot pakalpojumu efektivitāti;</w:t>
      </w:r>
    </w:p>
    <w:p w:rsidR="00712F58" w:rsidRPr="006006BD" w:rsidRDefault="00712F58" w:rsidP="00712F58">
      <w:pPr>
        <w:pStyle w:val="ListParagraph"/>
        <w:numPr>
          <w:ilvl w:val="0"/>
          <w:numId w:val="1"/>
        </w:numPr>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t xml:space="preserve">iegūt pilnīgu, kvalitatīvu un drošu informāciju par kustības drošības stāvokli  komercsabiedrībās; </w:t>
      </w:r>
    </w:p>
    <w:p w:rsidR="00712F58" w:rsidRPr="006006BD" w:rsidRDefault="00712F58" w:rsidP="00712F58">
      <w:pPr>
        <w:pStyle w:val="ListParagraph"/>
        <w:numPr>
          <w:ilvl w:val="0"/>
          <w:numId w:val="1"/>
        </w:numPr>
        <w:spacing w:after="240"/>
        <w:ind w:left="0" w:firstLine="567"/>
        <w:jc w:val="both"/>
        <w:rPr>
          <w:rFonts w:asciiTheme="minorHAnsi" w:hAnsiTheme="minorHAnsi" w:cstheme="minorHAnsi"/>
          <w:bCs/>
          <w:sz w:val="22"/>
          <w:szCs w:val="22"/>
        </w:rPr>
      </w:pPr>
      <w:r w:rsidRPr="006006BD">
        <w:rPr>
          <w:rFonts w:asciiTheme="minorHAnsi" w:hAnsiTheme="minorHAnsi" w:cstheme="minorHAnsi"/>
          <w:bCs/>
          <w:sz w:val="22"/>
          <w:szCs w:val="22"/>
        </w:rPr>
        <w:t xml:space="preserve">iekšējo procesu pilnveidošana – nodarbināto iesaistīšana procesos un to attīstība, godīgas un atvērtas darba kultūras saglabāšana, labu darba apstākļu un sociālo garantiju nodrošināšana. </w:t>
      </w:r>
    </w:p>
    <w:p w:rsidR="002C15A3" w:rsidRDefault="000A7146" w:rsidP="002C15A3">
      <w:pPr>
        <w:spacing w:after="240" w:line="240" w:lineRule="auto"/>
        <w:ind w:firstLine="720"/>
        <w:jc w:val="both"/>
        <w:rPr>
          <w:rFonts w:cstheme="minorHAnsi"/>
          <w:color w:val="auto"/>
          <w:sz w:val="22"/>
          <w:lang w:val="lv-LV"/>
        </w:rPr>
      </w:pPr>
      <w:r>
        <w:rPr>
          <w:rFonts w:cstheme="minorHAnsi"/>
          <w:color w:val="auto"/>
          <w:sz w:val="22"/>
          <w:lang w:val="lv-LV"/>
        </w:rPr>
        <w:t xml:space="preserve">2019.gadā kravu pārvadājumu apjoms ir būtiski krities, </w:t>
      </w:r>
      <w:r w:rsidR="0032564D">
        <w:rPr>
          <w:rFonts w:cstheme="minorHAnsi"/>
          <w:color w:val="auto"/>
          <w:sz w:val="22"/>
          <w:lang w:val="lv-LV"/>
        </w:rPr>
        <w:t xml:space="preserve">bet nedaudz </w:t>
      </w:r>
      <w:r>
        <w:rPr>
          <w:rFonts w:cstheme="minorHAnsi"/>
          <w:color w:val="auto"/>
          <w:sz w:val="22"/>
          <w:lang w:val="lv-LV"/>
        </w:rPr>
        <w:t>pieau</w:t>
      </w:r>
      <w:r w:rsidR="0032564D">
        <w:rPr>
          <w:rFonts w:cstheme="minorHAnsi"/>
          <w:color w:val="auto"/>
          <w:sz w:val="22"/>
          <w:lang w:val="lv-LV"/>
        </w:rPr>
        <w:t>dzis ir pasažieru pārvadājumu apjoms</w:t>
      </w:r>
      <w:r>
        <w:rPr>
          <w:rFonts w:cstheme="minorHAnsi"/>
          <w:color w:val="auto"/>
          <w:sz w:val="22"/>
          <w:lang w:val="lv-LV"/>
        </w:rPr>
        <w:t>.</w:t>
      </w:r>
      <w:r w:rsidR="0032564D">
        <w:rPr>
          <w:rFonts w:cstheme="minorHAnsi"/>
          <w:color w:val="auto"/>
          <w:sz w:val="22"/>
          <w:lang w:val="lv-LV"/>
        </w:rPr>
        <w:t xml:space="preserve"> </w:t>
      </w:r>
      <w:r w:rsidR="002C15A3">
        <w:rPr>
          <w:rFonts w:ascii="Calibri" w:hAnsi="Calibri" w:cs="Calibri"/>
          <w:color w:val="auto"/>
          <w:sz w:val="22"/>
          <w:szCs w:val="22"/>
          <w:lang w:val="lv-LV"/>
        </w:rPr>
        <w:t xml:space="preserve">Negadījumu un cietušo skaits turpina samazināties. </w:t>
      </w:r>
      <w:r w:rsidR="002C15A3" w:rsidRPr="000A7146">
        <w:rPr>
          <w:rFonts w:ascii="Calibri" w:hAnsi="Calibri" w:cs="Calibri"/>
          <w:color w:val="auto"/>
          <w:sz w:val="22"/>
          <w:szCs w:val="22"/>
          <w:lang w:val="lv-LV"/>
        </w:rPr>
        <w:t xml:space="preserve">Tomēr ne  visiem drošības rādītājiem ir tendence samazināties. Riski pastāv cietušo kategorijā  “citas personas”.  Šajā kategorijā ir daudz cietušo, kuri ir bijuši alkohola reibumā vai rīkojušies neadekvāti, piemēram, atrodoties uz ritekļa virsbūves vai guļot uz sliedēm. Vidējais rādītājs visās kategorijās  pakāpeniski samazinās, tai skaitā arī personām, kas gājušas bojā. Ievērojams samazinājums ir bijis kategorijā ar personām, kas guvušas </w:t>
      </w:r>
      <w:r w:rsidR="002C15A3">
        <w:rPr>
          <w:rFonts w:ascii="Calibri" w:hAnsi="Calibri" w:cs="Calibri"/>
          <w:color w:val="auto"/>
          <w:sz w:val="22"/>
          <w:szCs w:val="22"/>
          <w:lang w:val="lv-LV"/>
        </w:rPr>
        <w:t xml:space="preserve">smagus </w:t>
      </w:r>
      <w:r w:rsidR="002C15A3" w:rsidRPr="000A7146">
        <w:rPr>
          <w:rFonts w:ascii="Calibri" w:hAnsi="Calibri" w:cs="Calibri"/>
          <w:color w:val="auto"/>
          <w:sz w:val="22"/>
          <w:szCs w:val="22"/>
          <w:lang w:val="lv-LV"/>
        </w:rPr>
        <w:t xml:space="preserve">miesas bojājumus. </w:t>
      </w:r>
    </w:p>
    <w:p w:rsidR="002C15A3" w:rsidRDefault="002C15A3" w:rsidP="002C15A3">
      <w:pPr>
        <w:spacing w:after="240" w:line="240" w:lineRule="auto"/>
        <w:ind w:firstLine="720"/>
        <w:jc w:val="both"/>
        <w:rPr>
          <w:rFonts w:cstheme="minorHAnsi"/>
          <w:color w:val="auto"/>
          <w:sz w:val="22"/>
          <w:lang w:val="lv-LV"/>
        </w:rPr>
      </w:pPr>
      <w:r w:rsidRPr="006006BD">
        <w:rPr>
          <w:noProof/>
          <w:lang w:val="lv-LV" w:eastAsia="lv-LV"/>
        </w:rPr>
        <w:drawing>
          <wp:anchor distT="0" distB="0" distL="114300" distR="114300" simplePos="0" relativeHeight="251687936" behindDoc="1" locked="0" layoutInCell="1" allowOverlap="1" wp14:anchorId="387EF463" wp14:editId="79725201">
            <wp:simplePos x="0" y="0"/>
            <wp:positionH relativeFrom="margin">
              <wp:align>left</wp:align>
            </wp:positionH>
            <wp:positionV relativeFrom="paragraph">
              <wp:posOffset>0</wp:posOffset>
            </wp:positionV>
            <wp:extent cx="6120130" cy="2370455"/>
            <wp:effectExtent l="0" t="0" r="13970" b="10795"/>
            <wp:wrapTight wrapText="bothSides">
              <wp:wrapPolygon edited="0">
                <wp:start x="0" y="0"/>
                <wp:lineTo x="0" y="21525"/>
                <wp:lineTo x="21582" y="21525"/>
                <wp:lineTo x="21582" y="0"/>
                <wp:lineTo x="0" y="0"/>
              </wp:wrapPolygon>
            </wp:wrapTight>
            <wp:docPr id="2" name="Diagramma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0A7146" w:rsidRDefault="000A7146" w:rsidP="002C15A3">
      <w:pPr>
        <w:spacing w:after="240" w:line="240" w:lineRule="auto"/>
        <w:ind w:firstLine="720"/>
        <w:jc w:val="both"/>
        <w:rPr>
          <w:rFonts w:cstheme="minorHAnsi"/>
          <w:color w:val="auto"/>
          <w:sz w:val="22"/>
          <w:lang w:val="lv-LV"/>
        </w:rPr>
      </w:pPr>
      <w:r w:rsidRPr="000145ED">
        <w:rPr>
          <w:rFonts w:cstheme="minorHAnsi"/>
          <w:color w:val="auto"/>
          <w:sz w:val="22"/>
          <w:lang w:val="lv-LV"/>
        </w:rPr>
        <w:t xml:space="preserve">Pārskata periodā Dzelzceļa likumā noteikto funkciju izpildes ietvaros tika veiktas 136 pārbaudes, pabeigts viens Drošības pārvaldības sistēmas audits.  Tika izsniegti 4 drošības sertifikāti un 69 drošības apliecības dzelzceļa nozarē strādājošiem uzņēmumiem. Dzelzceļa speciālistu sertificēšanas ietvaros gada laikā sertificēti 49 vilces līdzekļu vadītāji, 81 vilces līdzekļu vadītāja palīgs un 14 mašīnisti instruktori, kā arī 30 bīstamo kravu pārvadājumu drošības konsultanti un pieņemti lēmumi </w:t>
      </w:r>
      <w:r>
        <w:rPr>
          <w:rFonts w:cstheme="minorHAnsi"/>
          <w:color w:val="auto"/>
          <w:sz w:val="22"/>
          <w:lang w:val="lv-LV"/>
        </w:rPr>
        <w:t xml:space="preserve">par </w:t>
      </w:r>
      <w:r w:rsidRPr="000145ED">
        <w:rPr>
          <w:rFonts w:cstheme="minorHAnsi"/>
          <w:color w:val="auto"/>
          <w:sz w:val="22"/>
          <w:lang w:val="lv-LV"/>
        </w:rPr>
        <w:t>164 dzelzceļa speciālistiem - dzelzceļa uzņēmumu speciālistu atestācijas komisiju locekļiem. Veikta izmeklēšana 31 dzelzceļa satiksmes drošības pārkāpumam. Izdotas ekspluatācijas atļaujas 7 jauniem ritošā sastāva tipiem, pieņemtas ekspluatācijā 72 ritošā sastāva vienības, pieņemti ekspluatācijā 17 dzelzceļa infrastruktūras o</w:t>
      </w:r>
      <w:r>
        <w:rPr>
          <w:rFonts w:cstheme="minorHAnsi"/>
          <w:color w:val="auto"/>
          <w:sz w:val="22"/>
          <w:lang w:val="lv-LV"/>
        </w:rPr>
        <w:t>bjekti. Pieņemti</w:t>
      </w:r>
      <w:r w:rsidRPr="000145ED">
        <w:rPr>
          <w:rFonts w:cstheme="minorHAnsi"/>
          <w:color w:val="auto"/>
          <w:sz w:val="22"/>
          <w:lang w:val="lv-LV"/>
        </w:rPr>
        <w:t xml:space="preserve"> 102 lēmumi būvniecības jautājumos.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0A7146" w:rsidRPr="00FF6BC6" w:rsidTr="002C15A3">
        <w:trPr>
          <w:trHeight w:val="1603"/>
        </w:trPr>
        <w:tc>
          <w:tcPr>
            <w:tcW w:w="576" w:type="dxa"/>
            <w:shd w:val="clear" w:color="auto" w:fill="D9D9D9" w:themeFill="background1" w:themeFillShade="D9"/>
          </w:tcPr>
          <w:p w:rsidR="000A7146" w:rsidRPr="006006BD" w:rsidRDefault="000A7146" w:rsidP="00724A50">
            <w:pPr>
              <w:spacing w:after="240"/>
              <w:jc w:val="both"/>
              <w:rPr>
                <w:rFonts w:cstheme="minorHAnsi"/>
                <w:color w:val="auto"/>
                <w:sz w:val="22"/>
                <w:highlight w:val="yellow"/>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rsidR="000A7146" w:rsidRPr="00E66D8B" w:rsidRDefault="000A7146" w:rsidP="00724A50">
            <w:pPr>
              <w:tabs>
                <w:tab w:val="left" w:pos="1159"/>
              </w:tabs>
              <w:spacing w:after="120" w:line="240" w:lineRule="auto"/>
              <w:ind w:firstLine="23"/>
              <w:contextualSpacing/>
              <w:jc w:val="both"/>
              <w:rPr>
                <w:rFonts w:cstheme="minorHAnsi"/>
                <w:b/>
                <w:color w:val="auto"/>
                <w:sz w:val="22"/>
                <w:lang w:val="lv-LV"/>
              </w:rPr>
            </w:pPr>
            <w:r w:rsidRPr="00E66D8B">
              <w:rPr>
                <w:rFonts w:cstheme="minorHAnsi"/>
                <w:b/>
                <w:color w:val="auto"/>
                <w:sz w:val="22"/>
                <w:lang w:val="lv-LV"/>
              </w:rPr>
              <w:t>VDzTI 2019.gadā:</w:t>
            </w:r>
          </w:p>
          <w:p w:rsidR="000A7146" w:rsidRPr="00E66D8B" w:rsidRDefault="000A7146" w:rsidP="00724A50">
            <w:pPr>
              <w:pStyle w:val="ListParagraph"/>
              <w:numPr>
                <w:ilvl w:val="0"/>
                <w:numId w:val="1"/>
              </w:numPr>
              <w:tabs>
                <w:tab w:val="left" w:pos="450"/>
              </w:tabs>
              <w:ind w:hanging="958"/>
              <w:jc w:val="both"/>
              <w:rPr>
                <w:rFonts w:asciiTheme="minorHAnsi" w:hAnsiTheme="minorHAnsi" w:cstheme="minorHAnsi"/>
                <w:b/>
                <w:sz w:val="22"/>
              </w:rPr>
            </w:pPr>
            <w:r w:rsidRPr="00E66D8B">
              <w:rPr>
                <w:rFonts w:asciiTheme="minorHAnsi" w:hAnsiTheme="minorHAnsi" w:cstheme="minorHAnsi"/>
                <w:b/>
                <w:sz w:val="22"/>
              </w:rPr>
              <w:t>turpināja darbu pie Ceturtās dzelzceļa pakotnes tehniskā pīlāra pārņemšanas;</w:t>
            </w:r>
          </w:p>
          <w:p w:rsidR="000A7146" w:rsidRPr="00E66D8B" w:rsidRDefault="000A7146" w:rsidP="00724A50">
            <w:pPr>
              <w:pStyle w:val="ListParagraph"/>
              <w:numPr>
                <w:ilvl w:val="0"/>
                <w:numId w:val="1"/>
              </w:numPr>
              <w:tabs>
                <w:tab w:val="left" w:pos="450"/>
              </w:tabs>
              <w:ind w:hanging="958"/>
              <w:jc w:val="both"/>
              <w:rPr>
                <w:rFonts w:asciiTheme="minorHAnsi" w:hAnsiTheme="minorHAnsi" w:cstheme="minorHAnsi"/>
                <w:b/>
                <w:sz w:val="22"/>
              </w:rPr>
            </w:pPr>
            <w:r w:rsidRPr="00E66D8B">
              <w:rPr>
                <w:rFonts w:asciiTheme="minorHAnsi" w:hAnsiTheme="minorHAnsi" w:cstheme="minorHAnsi"/>
                <w:b/>
                <w:sz w:val="22"/>
              </w:rPr>
              <w:t>pabeidza liela apjoma drošības pārvaldības sistēmas auditu vienai komercsabiedrībai;</w:t>
            </w:r>
          </w:p>
          <w:p w:rsidR="006E176B" w:rsidRPr="00E66D8B" w:rsidRDefault="006E176B" w:rsidP="00724A50">
            <w:pPr>
              <w:pStyle w:val="ListParagraph"/>
              <w:numPr>
                <w:ilvl w:val="0"/>
                <w:numId w:val="1"/>
              </w:numPr>
              <w:tabs>
                <w:tab w:val="left" w:pos="450"/>
              </w:tabs>
              <w:ind w:hanging="958"/>
              <w:jc w:val="both"/>
              <w:rPr>
                <w:rFonts w:asciiTheme="minorHAnsi" w:hAnsiTheme="minorHAnsi" w:cstheme="minorHAnsi"/>
                <w:b/>
                <w:sz w:val="22"/>
              </w:rPr>
            </w:pPr>
            <w:r w:rsidRPr="00E66D8B">
              <w:rPr>
                <w:rFonts w:asciiTheme="minorHAnsi" w:hAnsiTheme="minorHAnsi" w:cstheme="minorHAnsi"/>
                <w:b/>
                <w:sz w:val="22"/>
              </w:rPr>
              <w:t>pieņēma lēmumus par Rail Baltica projekta ieviešanu;</w:t>
            </w:r>
          </w:p>
          <w:p w:rsidR="000A7146" w:rsidRPr="00E66D8B" w:rsidRDefault="000A7146" w:rsidP="00724A50">
            <w:pPr>
              <w:pStyle w:val="ListParagraph"/>
              <w:numPr>
                <w:ilvl w:val="0"/>
                <w:numId w:val="1"/>
              </w:numPr>
              <w:tabs>
                <w:tab w:val="left" w:pos="450"/>
              </w:tabs>
              <w:ind w:hanging="958"/>
              <w:jc w:val="both"/>
              <w:rPr>
                <w:rFonts w:asciiTheme="minorHAnsi" w:hAnsiTheme="minorHAnsi" w:cstheme="minorHAnsi"/>
                <w:b/>
                <w:sz w:val="22"/>
              </w:rPr>
            </w:pPr>
            <w:r w:rsidRPr="00E66D8B">
              <w:rPr>
                <w:rFonts w:asciiTheme="minorHAnsi" w:hAnsiTheme="minorHAnsi" w:cstheme="minorHAnsi"/>
                <w:b/>
                <w:sz w:val="22"/>
              </w:rPr>
              <w:t>turpināja darbu pie negadījumu uzskaites sistēmas izstrādes;</w:t>
            </w:r>
          </w:p>
          <w:p w:rsidR="000A7146" w:rsidRPr="008D64D8" w:rsidRDefault="0032564D" w:rsidP="00724A50">
            <w:pPr>
              <w:pStyle w:val="ListParagraph"/>
              <w:numPr>
                <w:ilvl w:val="0"/>
                <w:numId w:val="1"/>
              </w:numPr>
              <w:tabs>
                <w:tab w:val="left" w:pos="450"/>
              </w:tabs>
              <w:ind w:hanging="958"/>
              <w:jc w:val="both"/>
              <w:rPr>
                <w:rFonts w:asciiTheme="minorHAnsi" w:hAnsiTheme="minorHAnsi" w:cstheme="minorHAnsi"/>
                <w:i/>
                <w:sz w:val="22"/>
              </w:rPr>
            </w:pPr>
            <w:r>
              <w:rPr>
                <w:rFonts w:asciiTheme="minorHAnsi" w:hAnsiTheme="minorHAnsi" w:cstheme="minorHAnsi"/>
                <w:b/>
                <w:sz w:val="22"/>
              </w:rPr>
              <w:t>veica</w:t>
            </w:r>
            <w:r w:rsidR="000A7146" w:rsidRPr="00E66D8B">
              <w:rPr>
                <w:rFonts w:asciiTheme="minorHAnsi" w:hAnsiTheme="minorHAnsi" w:cstheme="minorHAnsi"/>
                <w:b/>
                <w:sz w:val="22"/>
              </w:rPr>
              <w:t xml:space="preserve"> vairākus pasākumus iestādes efektivitātes paaugstināšanai.</w:t>
            </w:r>
          </w:p>
        </w:tc>
      </w:tr>
    </w:tbl>
    <w:p w:rsidR="000A7146" w:rsidRDefault="000A7146" w:rsidP="000A7146">
      <w:pPr>
        <w:pStyle w:val="Header"/>
        <w:tabs>
          <w:tab w:val="clear" w:pos="4680"/>
          <w:tab w:val="center" w:pos="851"/>
        </w:tabs>
        <w:spacing w:after="240"/>
        <w:jc w:val="both"/>
        <w:rPr>
          <w:rFonts w:ascii="Calibri" w:hAnsi="Calibri" w:cs="Calibri"/>
          <w:color w:val="auto"/>
          <w:sz w:val="22"/>
          <w:szCs w:val="22"/>
          <w:lang w:val="lv-LV"/>
        </w:rPr>
      </w:pPr>
    </w:p>
    <w:p w:rsidR="00EC15EE" w:rsidRPr="00E522A0" w:rsidRDefault="00EC15EE" w:rsidP="00E522A0">
      <w:pPr>
        <w:pStyle w:val="Heading1"/>
        <w:pBdr>
          <w:bottom w:val="single" w:sz="4" w:space="0" w:color="auto"/>
        </w:pBdr>
        <w:ind w:left="567" w:firstLine="142"/>
        <w:rPr>
          <w:rFonts w:ascii="Calibri" w:hAnsi="Calibri" w:cs="Calibri"/>
          <w:b/>
          <w:color w:val="auto"/>
          <w:sz w:val="24"/>
          <w:lang w:val="lv-LV"/>
        </w:rPr>
      </w:pPr>
      <w:bookmarkStart w:id="3" w:name="_Toc525723115"/>
      <w:bookmarkStart w:id="4" w:name="_Toc19108595"/>
      <w:bookmarkStart w:id="5" w:name="_Toc51146295"/>
      <w:r w:rsidRPr="00E522A0">
        <w:rPr>
          <w:rFonts w:ascii="Calibri" w:hAnsi="Calibri" w:cs="Calibri"/>
          <w:b/>
          <w:color w:val="auto"/>
          <w:sz w:val="24"/>
          <w:lang w:val="lv-LV"/>
        </w:rPr>
        <w:t>Summary in English</w:t>
      </w:r>
      <w:bookmarkEnd w:id="3"/>
      <w:bookmarkEnd w:id="4"/>
      <w:bookmarkEnd w:id="5"/>
    </w:p>
    <w:p w:rsidR="00EC15EE" w:rsidRPr="00106323" w:rsidRDefault="00EC15EE" w:rsidP="00EC15EE">
      <w:pPr>
        <w:spacing w:after="0" w:line="240" w:lineRule="auto"/>
        <w:jc w:val="both"/>
        <w:rPr>
          <w:rFonts w:ascii="Calibri" w:hAnsi="Calibri" w:cs="Calibri"/>
          <w:color w:val="auto"/>
          <w:sz w:val="22"/>
          <w:lang w:val="en-GB"/>
        </w:rPr>
      </w:pPr>
      <w:r w:rsidRPr="00106323">
        <w:rPr>
          <w:rFonts w:ascii="Calibri" w:hAnsi="Calibri" w:cs="Calibri"/>
          <w:color w:val="auto"/>
          <w:sz w:val="22"/>
          <w:lang w:val="en-GB"/>
        </w:rPr>
        <w:t xml:space="preserve">The State Railway Technical Inspectorate (NSA Latvia) has prepared the present report. Cabinet Regulations “Procedures for the Classification, Investigation and Recording of Railway Traffic Accidents” gives the NSA Latvia task to prepare </w:t>
      </w:r>
      <w:r w:rsidR="00106323" w:rsidRPr="00106323">
        <w:rPr>
          <w:rFonts w:ascii="Calibri" w:hAnsi="Calibri" w:cs="Calibri"/>
          <w:color w:val="auto"/>
          <w:sz w:val="22"/>
          <w:lang w:val="en-GB"/>
        </w:rPr>
        <w:t>Annual Report</w:t>
      </w:r>
      <w:r w:rsidRPr="00106323">
        <w:rPr>
          <w:rFonts w:ascii="Calibri" w:hAnsi="Calibri" w:cs="Calibri"/>
          <w:color w:val="auto"/>
          <w:sz w:val="22"/>
          <w:lang w:val="en-GB"/>
        </w:rPr>
        <w:t xml:space="preserve"> providing information on traffic safety level and </w:t>
      </w:r>
      <w:r w:rsidR="00106323" w:rsidRPr="00106323">
        <w:rPr>
          <w:rFonts w:ascii="Calibri" w:hAnsi="Calibri" w:cs="Calibri"/>
          <w:color w:val="auto"/>
          <w:sz w:val="22"/>
          <w:lang w:val="en-GB"/>
        </w:rPr>
        <w:t xml:space="preserve">safety </w:t>
      </w:r>
      <w:r w:rsidRPr="00106323">
        <w:rPr>
          <w:rFonts w:ascii="Calibri" w:hAnsi="Calibri" w:cs="Calibri"/>
          <w:color w:val="auto"/>
          <w:sz w:val="22"/>
          <w:lang w:val="en-GB"/>
        </w:rPr>
        <w:t xml:space="preserve">processes. The report contains summarised information about the NSA Latvia </w:t>
      </w:r>
      <w:r w:rsidR="00106323">
        <w:rPr>
          <w:rFonts w:ascii="Calibri" w:hAnsi="Calibri" w:cs="Calibri"/>
          <w:color w:val="auto"/>
          <w:sz w:val="22"/>
          <w:lang w:val="en-GB"/>
        </w:rPr>
        <w:t xml:space="preserve">safety and </w:t>
      </w:r>
      <w:r w:rsidR="00A565FA">
        <w:rPr>
          <w:rFonts w:ascii="Calibri" w:hAnsi="Calibri" w:cs="Calibri"/>
          <w:color w:val="auto"/>
          <w:sz w:val="22"/>
          <w:lang w:val="en-GB"/>
        </w:rPr>
        <w:t>activity strategies</w:t>
      </w:r>
      <w:r w:rsidRPr="00106323">
        <w:rPr>
          <w:rFonts w:ascii="Calibri" w:hAnsi="Calibri" w:cs="Calibri"/>
          <w:color w:val="auto"/>
          <w:sz w:val="22"/>
          <w:lang w:val="en-GB"/>
        </w:rPr>
        <w:t xml:space="preserve">, its targets, tasks, </w:t>
      </w:r>
      <w:r w:rsidRPr="00106323">
        <w:rPr>
          <w:rFonts w:ascii="Calibri" w:hAnsi="Calibri" w:cs="Calibri"/>
          <w:color w:val="auto"/>
          <w:sz w:val="22"/>
          <w:lang w:val="en-GB"/>
        </w:rPr>
        <w:lastRenderedPageBreak/>
        <w:t>initiatives and its development, safety performance</w:t>
      </w:r>
      <w:r w:rsidR="00A565FA">
        <w:rPr>
          <w:rFonts w:ascii="Calibri" w:hAnsi="Calibri" w:cs="Calibri"/>
          <w:color w:val="auto"/>
          <w:sz w:val="22"/>
          <w:lang w:val="en-GB"/>
        </w:rPr>
        <w:t xml:space="preserve"> assessment</w:t>
      </w:r>
      <w:r w:rsidRPr="00106323">
        <w:rPr>
          <w:rFonts w:ascii="Calibri" w:hAnsi="Calibri" w:cs="Calibri"/>
          <w:color w:val="auto"/>
          <w:sz w:val="22"/>
          <w:lang w:val="en-GB"/>
        </w:rPr>
        <w:t>, certification and authorisations processes as well as realized supervision activities.  The report contains the following information:</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Directions of actions according to the NSA Latvia strategies;</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Developed analysis of accidents statistics (</w:t>
      </w:r>
      <w:r w:rsidR="00A565FA">
        <w:rPr>
          <w:rFonts w:ascii="Calibri" w:hAnsi="Calibri" w:cs="Calibri"/>
          <w:sz w:val="22"/>
          <w:lang w:val="en-GB"/>
        </w:rPr>
        <w:t>C</w:t>
      </w:r>
      <w:r w:rsidRPr="00A565FA">
        <w:rPr>
          <w:rFonts w:ascii="Calibri" w:hAnsi="Calibri" w:cs="Calibri"/>
          <w:sz w:val="22"/>
          <w:lang w:val="en-GB"/>
        </w:rPr>
        <w:t>ommon Safety Indicators) and tendencies;</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Assessment of traffic safety statistics;</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Description of certification processes - description of the current situation;</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Supervision activities;</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Risk assessment procedures;</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New rail project</w:t>
      </w:r>
    </w:p>
    <w:p w:rsidR="00EC15EE" w:rsidRPr="00A565FA" w:rsidRDefault="00EC15EE" w:rsidP="00EC15EE">
      <w:pPr>
        <w:pStyle w:val="ListParagraph"/>
        <w:numPr>
          <w:ilvl w:val="0"/>
          <w:numId w:val="12"/>
        </w:numPr>
        <w:jc w:val="both"/>
        <w:rPr>
          <w:rFonts w:ascii="Calibri" w:hAnsi="Calibri" w:cs="Calibri"/>
          <w:sz w:val="22"/>
          <w:lang w:val="en-GB"/>
        </w:rPr>
      </w:pPr>
      <w:r w:rsidRPr="00A565FA">
        <w:rPr>
          <w:rFonts w:ascii="Calibri" w:hAnsi="Calibri" w:cs="Calibri"/>
          <w:sz w:val="22"/>
          <w:lang w:val="en-GB"/>
        </w:rPr>
        <w:t>Safety Culture.</w:t>
      </w:r>
    </w:p>
    <w:p w:rsidR="00173576" w:rsidRDefault="00EC15EE" w:rsidP="00173576">
      <w:pPr>
        <w:spacing w:after="240" w:line="240" w:lineRule="auto"/>
        <w:ind w:firstLine="720"/>
        <w:jc w:val="both"/>
        <w:rPr>
          <w:rFonts w:ascii="Calibri" w:hAnsi="Calibri" w:cs="Calibri"/>
          <w:color w:val="auto"/>
          <w:sz w:val="22"/>
          <w:lang w:val="en-GB"/>
        </w:rPr>
      </w:pPr>
      <w:r w:rsidRPr="00A565FA">
        <w:rPr>
          <w:rFonts w:ascii="Calibri" w:hAnsi="Calibri" w:cs="Calibri"/>
          <w:color w:val="auto"/>
          <w:sz w:val="22"/>
          <w:lang w:val="en-GB"/>
        </w:rPr>
        <w:t xml:space="preserve">In the reporting year, the number of serious accidents decreased. Doing a deep data statistics analysis, there is a </w:t>
      </w:r>
      <w:r w:rsidR="00173576" w:rsidRPr="00A565FA">
        <w:rPr>
          <w:rFonts w:ascii="Calibri" w:hAnsi="Calibri" w:cs="Calibri"/>
          <w:color w:val="auto"/>
          <w:sz w:val="22"/>
          <w:lang w:val="en-GB"/>
        </w:rPr>
        <w:t>step-by-step</w:t>
      </w:r>
      <w:r w:rsidRPr="00A565FA">
        <w:rPr>
          <w:rFonts w:ascii="Calibri" w:hAnsi="Calibri" w:cs="Calibri"/>
          <w:color w:val="auto"/>
          <w:sz w:val="22"/>
          <w:lang w:val="en-GB"/>
        </w:rPr>
        <w:t xml:space="preserve"> decrease of accidents since 2004.</w:t>
      </w:r>
      <w:r w:rsidR="00173576">
        <w:rPr>
          <w:rFonts w:ascii="Calibri" w:hAnsi="Calibri" w:cs="Calibri"/>
          <w:color w:val="auto"/>
          <w:sz w:val="22"/>
          <w:lang w:val="en-GB"/>
        </w:rPr>
        <w:t xml:space="preserve">Bu still the risk of the category “Others” still exist. </w:t>
      </w:r>
    </w:p>
    <w:p w:rsidR="00EC15EE" w:rsidRPr="00A565FA" w:rsidRDefault="00EC15EE" w:rsidP="00EC15EE">
      <w:pPr>
        <w:spacing w:after="120" w:line="240" w:lineRule="auto"/>
        <w:ind w:firstLine="720"/>
        <w:jc w:val="both"/>
        <w:rPr>
          <w:rFonts w:ascii="Calibri" w:hAnsi="Calibri" w:cs="Calibri"/>
          <w:color w:val="auto"/>
          <w:sz w:val="22"/>
          <w:lang w:val="en-GB"/>
        </w:rPr>
      </w:pPr>
      <w:r w:rsidRPr="00A565FA">
        <w:rPr>
          <w:rFonts w:ascii="Calibri" w:hAnsi="Calibri" w:cs="Calibri"/>
          <w:color w:val="auto"/>
          <w:sz w:val="22"/>
          <w:lang w:val="en-GB"/>
        </w:rPr>
        <w:t xml:space="preserve">The total traffic volume </w:t>
      </w:r>
      <w:r w:rsidR="00173576">
        <w:rPr>
          <w:rFonts w:ascii="Calibri" w:hAnsi="Calibri" w:cs="Calibri"/>
          <w:color w:val="auto"/>
          <w:sz w:val="22"/>
          <w:lang w:val="en-GB"/>
        </w:rPr>
        <w:t xml:space="preserve">decreased in 2019. Passenger traffic step-by-step is increasing. Quite serious decrease is for freight traffic. </w:t>
      </w:r>
    </w:p>
    <w:p w:rsidR="00EC15EE" w:rsidRDefault="00EC15EE" w:rsidP="00EC15EE">
      <w:pPr>
        <w:spacing w:after="240" w:line="240" w:lineRule="auto"/>
        <w:ind w:firstLine="720"/>
        <w:jc w:val="both"/>
        <w:rPr>
          <w:rFonts w:ascii="Calibri" w:hAnsi="Calibri" w:cs="Calibri"/>
          <w:color w:val="auto"/>
          <w:sz w:val="22"/>
          <w:lang w:val="en-GB"/>
        </w:rPr>
      </w:pPr>
      <w:r w:rsidRPr="00A565FA">
        <w:rPr>
          <w:rFonts w:ascii="Calibri" w:hAnsi="Calibri" w:cs="Calibri"/>
          <w:color w:val="auto"/>
          <w:sz w:val="22"/>
          <w:lang w:val="en-GB"/>
        </w:rPr>
        <w:t xml:space="preserve">Within the scope of the NSA Latvia functions determined by the Railway Law, the Inspectorate has supervised </w:t>
      </w:r>
      <w:r w:rsidR="00173576">
        <w:rPr>
          <w:rFonts w:ascii="Calibri" w:hAnsi="Calibri" w:cs="Calibri"/>
          <w:color w:val="auto"/>
          <w:sz w:val="22"/>
          <w:lang w:val="en-GB"/>
        </w:rPr>
        <w:t xml:space="preserve">136 rail objects, closed </w:t>
      </w:r>
      <w:r w:rsidRPr="00A565FA">
        <w:rPr>
          <w:rFonts w:ascii="Calibri" w:hAnsi="Calibri" w:cs="Calibri"/>
          <w:color w:val="auto"/>
          <w:sz w:val="22"/>
          <w:lang w:val="en-GB"/>
        </w:rPr>
        <w:t xml:space="preserve">SMS audit of big company.  </w:t>
      </w:r>
      <w:r w:rsidR="00173576">
        <w:rPr>
          <w:rFonts w:ascii="Calibri" w:hAnsi="Calibri" w:cs="Calibri"/>
          <w:color w:val="auto"/>
          <w:sz w:val="22"/>
          <w:lang w:val="en-GB"/>
        </w:rPr>
        <w:t>Four</w:t>
      </w:r>
      <w:r w:rsidRPr="00A565FA">
        <w:rPr>
          <w:rFonts w:ascii="Calibri" w:hAnsi="Calibri" w:cs="Calibri"/>
          <w:color w:val="auto"/>
          <w:sz w:val="22"/>
          <w:lang w:val="en-GB"/>
        </w:rPr>
        <w:t xml:space="preserve"> safety certificates of part A and part B issued.  The NSA Latvia issued </w:t>
      </w:r>
      <w:r w:rsidR="00173576">
        <w:rPr>
          <w:rFonts w:ascii="Calibri" w:hAnsi="Calibri" w:cs="Calibri"/>
          <w:color w:val="auto"/>
          <w:sz w:val="22"/>
          <w:lang w:val="en-GB"/>
        </w:rPr>
        <w:t>69</w:t>
      </w:r>
      <w:r w:rsidRPr="00A565FA">
        <w:rPr>
          <w:rFonts w:ascii="Calibri" w:hAnsi="Calibri" w:cs="Calibri"/>
          <w:color w:val="auto"/>
          <w:sz w:val="22"/>
          <w:lang w:val="en-GB"/>
        </w:rPr>
        <w:t xml:space="preserve"> safety permits (authorisations) for railway sector. Within the framework of certification procedure </w:t>
      </w:r>
      <w:r w:rsidR="00173576">
        <w:rPr>
          <w:rFonts w:ascii="Calibri" w:hAnsi="Calibri" w:cs="Calibri"/>
          <w:color w:val="auto"/>
          <w:sz w:val="22"/>
          <w:lang w:val="en-GB"/>
        </w:rPr>
        <w:t>49</w:t>
      </w:r>
      <w:r w:rsidRPr="00A565FA">
        <w:rPr>
          <w:rFonts w:ascii="Calibri" w:hAnsi="Calibri" w:cs="Calibri"/>
          <w:color w:val="auto"/>
          <w:sz w:val="22"/>
          <w:lang w:val="en-GB"/>
        </w:rPr>
        <w:t xml:space="preserve"> train drivers, </w:t>
      </w:r>
      <w:r w:rsidR="00173576">
        <w:rPr>
          <w:rFonts w:ascii="Calibri" w:hAnsi="Calibri" w:cs="Calibri"/>
          <w:color w:val="auto"/>
          <w:sz w:val="22"/>
          <w:lang w:val="en-GB"/>
        </w:rPr>
        <w:t>81</w:t>
      </w:r>
      <w:r w:rsidRPr="00A565FA">
        <w:rPr>
          <w:rFonts w:ascii="Calibri" w:hAnsi="Calibri" w:cs="Calibri"/>
          <w:color w:val="auto"/>
          <w:sz w:val="22"/>
          <w:lang w:val="en-GB"/>
        </w:rPr>
        <w:t xml:space="preserve"> train driver assistants and 1</w:t>
      </w:r>
      <w:r w:rsidR="00173576">
        <w:rPr>
          <w:rFonts w:ascii="Calibri" w:hAnsi="Calibri" w:cs="Calibri"/>
          <w:color w:val="auto"/>
          <w:sz w:val="22"/>
          <w:lang w:val="en-GB"/>
        </w:rPr>
        <w:t>4</w:t>
      </w:r>
      <w:r w:rsidRPr="00A565FA">
        <w:rPr>
          <w:rFonts w:ascii="Calibri" w:hAnsi="Calibri" w:cs="Calibri"/>
          <w:color w:val="auto"/>
          <w:sz w:val="22"/>
          <w:lang w:val="en-GB"/>
        </w:rPr>
        <w:t xml:space="preserve"> train driver instructors, as well as 3</w:t>
      </w:r>
      <w:r w:rsidR="00173576">
        <w:rPr>
          <w:rFonts w:ascii="Calibri" w:hAnsi="Calibri" w:cs="Calibri"/>
          <w:color w:val="auto"/>
          <w:sz w:val="22"/>
          <w:lang w:val="en-GB"/>
        </w:rPr>
        <w:t>0</w:t>
      </w:r>
      <w:r w:rsidRPr="00A565FA">
        <w:rPr>
          <w:rFonts w:ascii="Calibri" w:hAnsi="Calibri" w:cs="Calibri"/>
          <w:color w:val="auto"/>
          <w:sz w:val="22"/>
          <w:lang w:val="en-GB"/>
        </w:rPr>
        <w:t xml:space="preserve"> safety consultants on dangerous goods deliveries and </w:t>
      </w:r>
      <w:r w:rsidR="00173576">
        <w:rPr>
          <w:rFonts w:ascii="Calibri" w:hAnsi="Calibri" w:cs="Calibri"/>
          <w:color w:val="auto"/>
          <w:sz w:val="22"/>
          <w:lang w:val="en-GB"/>
        </w:rPr>
        <w:t>164</w:t>
      </w:r>
      <w:r w:rsidRPr="00A565FA">
        <w:rPr>
          <w:rFonts w:ascii="Calibri" w:hAnsi="Calibri" w:cs="Calibri"/>
          <w:color w:val="auto"/>
          <w:sz w:val="22"/>
          <w:lang w:val="en-GB"/>
        </w:rPr>
        <w:t xml:space="preserve"> railway sector experts – commission members for attestation specialists of railway undertakings were certified. Operation permits were issued to </w:t>
      </w:r>
      <w:r w:rsidR="00173576">
        <w:rPr>
          <w:rFonts w:ascii="Calibri" w:hAnsi="Calibri" w:cs="Calibri"/>
          <w:color w:val="auto"/>
          <w:sz w:val="22"/>
          <w:lang w:val="en-GB"/>
        </w:rPr>
        <w:t>7 new rolling stock types, 72</w:t>
      </w:r>
      <w:r w:rsidRPr="00A565FA">
        <w:rPr>
          <w:rFonts w:ascii="Calibri" w:hAnsi="Calibri" w:cs="Calibri"/>
          <w:color w:val="auto"/>
          <w:sz w:val="22"/>
          <w:lang w:val="en-GB"/>
        </w:rPr>
        <w:t xml:space="preserve"> rolling stock units and </w:t>
      </w:r>
      <w:r w:rsidR="00173576">
        <w:rPr>
          <w:rFonts w:ascii="Calibri" w:hAnsi="Calibri" w:cs="Calibri"/>
          <w:color w:val="auto"/>
          <w:sz w:val="22"/>
          <w:lang w:val="en-GB"/>
        </w:rPr>
        <w:t>17</w:t>
      </w:r>
      <w:r w:rsidRPr="00A565FA">
        <w:rPr>
          <w:rFonts w:ascii="Calibri" w:hAnsi="Calibri" w:cs="Calibri"/>
          <w:color w:val="auto"/>
          <w:sz w:val="22"/>
          <w:lang w:val="en-GB"/>
        </w:rPr>
        <w:t xml:space="preserve"> railway infrastructure facilities</w:t>
      </w:r>
      <w:r w:rsidR="00173576">
        <w:rPr>
          <w:rFonts w:ascii="Calibri" w:hAnsi="Calibri" w:cs="Calibri"/>
          <w:color w:val="auto"/>
          <w:sz w:val="22"/>
          <w:lang w:val="en-GB"/>
        </w:rPr>
        <w:t xml:space="preserve"> (systems)</w:t>
      </w:r>
      <w:r w:rsidRPr="00A565FA">
        <w:rPr>
          <w:rFonts w:ascii="Calibri" w:hAnsi="Calibri" w:cs="Calibri"/>
          <w:color w:val="auto"/>
          <w:sz w:val="22"/>
          <w:lang w:val="en-GB"/>
        </w:rPr>
        <w:t xml:space="preserve"> were placed into service. More than 1</w:t>
      </w:r>
      <w:r w:rsidR="00173576">
        <w:rPr>
          <w:rFonts w:ascii="Calibri" w:hAnsi="Calibri" w:cs="Calibri"/>
          <w:color w:val="auto"/>
          <w:sz w:val="22"/>
          <w:lang w:val="en-GB"/>
        </w:rPr>
        <w:t>02</w:t>
      </w:r>
      <w:r w:rsidRPr="00A565FA">
        <w:rPr>
          <w:rFonts w:ascii="Calibri" w:hAnsi="Calibri" w:cs="Calibri"/>
          <w:color w:val="auto"/>
          <w:sz w:val="22"/>
          <w:lang w:val="en-GB"/>
        </w:rPr>
        <w:t xml:space="preserve"> decisions of building permits were taken.</w:t>
      </w:r>
      <w:r w:rsidRPr="004E1ACF">
        <w:rPr>
          <w:rFonts w:ascii="Calibri" w:hAnsi="Calibri" w:cs="Calibri"/>
          <w:color w:val="auto"/>
          <w:sz w:val="22"/>
          <w:lang w:val="en-GB"/>
        </w:rPr>
        <w:t xml:space="preserve"> </w:t>
      </w:r>
    </w:p>
    <w:p w:rsidR="00747919" w:rsidRPr="00D41F65" w:rsidRDefault="00747919" w:rsidP="00173576">
      <w:pPr>
        <w:pStyle w:val="Heading1"/>
        <w:pBdr>
          <w:bottom w:val="single" w:sz="8" w:space="0" w:color="auto"/>
        </w:pBdr>
        <w:ind w:left="709"/>
        <w:rPr>
          <w:rFonts w:asciiTheme="minorHAnsi" w:hAnsiTheme="minorHAnsi" w:cstheme="minorHAnsi"/>
          <w:b/>
          <w:color w:val="auto"/>
          <w:sz w:val="24"/>
          <w:lang w:val="lv-LV"/>
        </w:rPr>
      </w:pPr>
      <w:bookmarkStart w:id="6" w:name="_Toc51146296"/>
      <w:r w:rsidRPr="00D41F65">
        <w:rPr>
          <w:rFonts w:asciiTheme="minorHAnsi" w:hAnsiTheme="minorHAnsi" w:cstheme="minorHAnsi"/>
          <w:b/>
          <w:color w:val="auto"/>
          <w:sz w:val="24"/>
          <w:lang w:val="lv-LV"/>
        </w:rPr>
        <w:t>VDzTI</w:t>
      </w:r>
      <w:r w:rsidR="004C4542" w:rsidRPr="00D41F65">
        <w:rPr>
          <w:rFonts w:asciiTheme="minorHAnsi" w:hAnsiTheme="minorHAnsi" w:cstheme="minorHAnsi"/>
          <w:b/>
          <w:color w:val="auto"/>
          <w:sz w:val="24"/>
          <w:lang w:val="lv-LV"/>
        </w:rPr>
        <w:t xml:space="preserve"> stratēģijas, programmas, plāni</w:t>
      </w:r>
      <w:bookmarkEnd w:id="6"/>
      <w:r w:rsidR="004C4542" w:rsidRPr="00D41F65">
        <w:rPr>
          <w:rFonts w:asciiTheme="minorHAnsi" w:hAnsiTheme="minorHAnsi" w:cstheme="minorHAnsi"/>
          <w:b/>
          <w:color w:val="auto"/>
          <w:sz w:val="24"/>
          <w:lang w:val="lv-LV"/>
        </w:rPr>
        <w:t xml:space="preserve"> </w:t>
      </w:r>
    </w:p>
    <w:p w:rsidR="00747919" w:rsidRPr="006006BD" w:rsidRDefault="00747919" w:rsidP="00747919">
      <w:pPr>
        <w:spacing w:after="120" w:line="240" w:lineRule="auto"/>
        <w:ind w:firstLine="720"/>
        <w:jc w:val="both"/>
        <w:rPr>
          <w:rFonts w:cstheme="minorHAnsi"/>
          <w:color w:val="auto"/>
          <w:sz w:val="22"/>
          <w:szCs w:val="22"/>
          <w:lang w:val="lv-LV"/>
        </w:rPr>
      </w:pPr>
      <w:r w:rsidRPr="006006BD">
        <w:rPr>
          <w:rFonts w:cstheme="minorHAnsi"/>
          <w:color w:val="auto"/>
          <w:sz w:val="22"/>
          <w:szCs w:val="22"/>
          <w:lang w:val="lv-LV"/>
        </w:rPr>
        <w:t xml:space="preserve">VDzTI 2017.gadā apstiprināja divas stratēģijas –darbības un uzraudzības -  trīs gadu periodam (2017-2019).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747919" w:rsidRPr="006006BD" w:rsidTr="007E4604">
        <w:tc>
          <w:tcPr>
            <w:tcW w:w="576" w:type="dxa"/>
            <w:shd w:val="clear" w:color="auto" w:fill="D9D9D9" w:themeFill="background1" w:themeFillShade="D9"/>
          </w:tcPr>
          <w:p w:rsidR="00747919" w:rsidRPr="006006BD" w:rsidRDefault="000145ED" w:rsidP="007E4604">
            <w:pPr>
              <w:spacing w:after="240"/>
              <w:jc w:val="both"/>
              <w:rPr>
                <w:rFonts w:cstheme="minorHAns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747919" w:rsidRPr="00B75841" w:rsidRDefault="00747919" w:rsidP="00747919">
            <w:pPr>
              <w:spacing w:after="0" w:line="240" w:lineRule="auto"/>
              <w:jc w:val="both"/>
              <w:rPr>
                <w:rFonts w:cstheme="minorHAnsi"/>
                <w:b/>
                <w:color w:val="auto"/>
                <w:sz w:val="24"/>
                <w:szCs w:val="22"/>
                <w:lang w:val="lv-LV"/>
              </w:rPr>
            </w:pPr>
            <w:r w:rsidRPr="00B75841">
              <w:rPr>
                <w:rFonts w:cstheme="minorHAnsi"/>
                <w:b/>
                <w:color w:val="auto"/>
                <w:sz w:val="24"/>
                <w:szCs w:val="22"/>
                <w:lang w:val="lv-LV"/>
              </w:rPr>
              <w:t>Galvenie VDZTI darbības virzieni trīs gadu periodā:</w:t>
            </w:r>
          </w:p>
          <w:p w:rsidR="00747919" w:rsidRPr="00B75841" w:rsidRDefault="00747919" w:rsidP="00747919">
            <w:pPr>
              <w:spacing w:after="0" w:line="240" w:lineRule="auto"/>
              <w:jc w:val="both"/>
              <w:rPr>
                <w:rFonts w:cstheme="minorHAnsi"/>
                <w:b/>
                <w:color w:val="auto"/>
                <w:sz w:val="24"/>
                <w:szCs w:val="22"/>
                <w:lang w:val="lv-LV"/>
              </w:rPr>
            </w:pPr>
            <w:r w:rsidRPr="00B75841">
              <w:rPr>
                <w:rFonts w:cstheme="minorHAnsi"/>
                <w:b/>
                <w:color w:val="auto"/>
                <w:sz w:val="24"/>
                <w:szCs w:val="22"/>
                <w:lang w:val="lv-LV"/>
              </w:rPr>
              <w:t xml:space="preserve">1.virziens - </w:t>
            </w:r>
            <w:r w:rsidRPr="00B75841">
              <w:rPr>
                <w:rFonts w:cstheme="minorHAnsi"/>
                <w:b/>
                <w:iCs/>
                <w:color w:val="auto"/>
                <w:sz w:val="24"/>
                <w:szCs w:val="22"/>
                <w:lang w:val="lv-LV"/>
              </w:rPr>
              <w:t>dzelzceļa kustības drošības līmeņa pārraudzība;</w:t>
            </w:r>
          </w:p>
          <w:p w:rsidR="00747919" w:rsidRPr="00B75841" w:rsidRDefault="00747919" w:rsidP="00747919">
            <w:pPr>
              <w:spacing w:after="0" w:line="240" w:lineRule="auto"/>
              <w:jc w:val="both"/>
              <w:rPr>
                <w:rFonts w:cstheme="minorHAnsi"/>
                <w:b/>
                <w:iCs/>
                <w:color w:val="auto"/>
                <w:sz w:val="24"/>
                <w:szCs w:val="22"/>
                <w:lang w:val="lv-LV"/>
              </w:rPr>
            </w:pPr>
            <w:r w:rsidRPr="00B75841">
              <w:rPr>
                <w:rFonts w:cstheme="minorHAnsi"/>
                <w:b/>
                <w:iCs/>
                <w:color w:val="auto"/>
                <w:sz w:val="24"/>
                <w:szCs w:val="22"/>
                <w:lang w:val="lv-LV"/>
              </w:rPr>
              <w:t>2.virziens – nepārtraukta  un caurspīdīga uzraudzības nodrošināšana;</w:t>
            </w:r>
          </w:p>
          <w:p w:rsidR="00747919" w:rsidRPr="00B75841" w:rsidRDefault="00217EE6" w:rsidP="00747919">
            <w:pPr>
              <w:spacing w:after="0" w:line="240" w:lineRule="auto"/>
              <w:jc w:val="both"/>
              <w:rPr>
                <w:rFonts w:cstheme="minorHAnsi"/>
                <w:b/>
                <w:iCs/>
                <w:color w:val="auto"/>
                <w:sz w:val="24"/>
                <w:szCs w:val="22"/>
                <w:lang w:val="lv-LV"/>
              </w:rPr>
            </w:pPr>
            <w:r w:rsidRPr="00B75841">
              <w:rPr>
                <w:rFonts w:cstheme="minorHAnsi"/>
                <w:b/>
                <w:iCs/>
                <w:color w:val="auto"/>
                <w:sz w:val="24"/>
                <w:szCs w:val="22"/>
                <w:lang w:val="lv-LV"/>
              </w:rPr>
              <w:t xml:space="preserve">3.virziens  - </w:t>
            </w:r>
            <w:r w:rsidR="00747919" w:rsidRPr="00B75841">
              <w:rPr>
                <w:rFonts w:cstheme="minorHAnsi"/>
                <w:b/>
                <w:iCs/>
                <w:color w:val="auto"/>
                <w:sz w:val="24"/>
                <w:szCs w:val="22"/>
                <w:lang w:val="lv-LV"/>
              </w:rPr>
              <w:t>vienotu sertificēšanas procesu nodrošināšana;</w:t>
            </w:r>
          </w:p>
          <w:p w:rsidR="00747919" w:rsidRPr="00B75841" w:rsidRDefault="00747919" w:rsidP="00747919">
            <w:pPr>
              <w:spacing w:after="0" w:line="240" w:lineRule="auto"/>
              <w:jc w:val="both"/>
              <w:rPr>
                <w:rFonts w:cstheme="minorHAnsi"/>
                <w:b/>
                <w:iCs/>
                <w:color w:val="auto"/>
                <w:sz w:val="24"/>
                <w:szCs w:val="22"/>
                <w:lang w:val="lv-LV"/>
              </w:rPr>
            </w:pPr>
            <w:r w:rsidRPr="00B75841">
              <w:rPr>
                <w:rFonts w:cstheme="minorHAnsi"/>
                <w:b/>
                <w:iCs/>
                <w:color w:val="auto"/>
                <w:sz w:val="24"/>
                <w:szCs w:val="22"/>
                <w:lang w:val="lv-LV"/>
              </w:rPr>
              <w:t>4.virziens - darbs pie Ceturtās dzelzceļa pakotnes tiesiskā regulējuma prasību ieviešanas Latvijas likumdošanā;</w:t>
            </w:r>
          </w:p>
          <w:p w:rsidR="00747919" w:rsidRPr="006006BD" w:rsidRDefault="00747919" w:rsidP="00747919">
            <w:pPr>
              <w:spacing w:after="0" w:line="240" w:lineRule="auto"/>
              <w:jc w:val="both"/>
              <w:rPr>
                <w:rFonts w:cstheme="minorHAnsi"/>
                <w:iCs/>
                <w:color w:val="auto"/>
                <w:sz w:val="22"/>
                <w:szCs w:val="22"/>
                <w:lang w:val="lv-LV"/>
              </w:rPr>
            </w:pPr>
            <w:r w:rsidRPr="00B75841">
              <w:rPr>
                <w:rFonts w:cstheme="minorHAnsi"/>
                <w:b/>
                <w:iCs/>
                <w:color w:val="auto"/>
                <w:sz w:val="24"/>
                <w:szCs w:val="22"/>
                <w:lang w:val="lv-LV"/>
              </w:rPr>
              <w:t>5.virziens -</w:t>
            </w:r>
            <w:r w:rsidRPr="00B75841">
              <w:rPr>
                <w:rFonts w:cstheme="minorHAnsi"/>
                <w:b/>
                <w:color w:val="auto"/>
                <w:sz w:val="22"/>
                <w:lang w:val="lv-LV"/>
              </w:rPr>
              <w:t xml:space="preserve"> </w:t>
            </w:r>
            <w:r w:rsidRPr="00B75841">
              <w:rPr>
                <w:rFonts w:cstheme="minorHAnsi"/>
                <w:b/>
                <w:iCs/>
                <w:color w:val="auto"/>
                <w:sz w:val="24"/>
                <w:szCs w:val="22"/>
                <w:lang w:val="lv-LV"/>
              </w:rPr>
              <w:t>VDzTI darba kapacitātes pilnveide, pārvaldība un resursi.</w:t>
            </w:r>
          </w:p>
        </w:tc>
      </w:tr>
    </w:tbl>
    <w:p w:rsidR="00747919" w:rsidRPr="006006BD" w:rsidRDefault="00747919" w:rsidP="00747919">
      <w:pPr>
        <w:spacing w:after="0" w:line="240" w:lineRule="auto"/>
        <w:ind w:firstLine="720"/>
        <w:jc w:val="both"/>
        <w:rPr>
          <w:rFonts w:cstheme="minorHAnsi"/>
          <w:color w:val="auto"/>
          <w:sz w:val="22"/>
          <w:szCs w:val="22"/>
          <w:lang w:val="lv-LV"/>
        </w:rPr>
      </w:pPr>
    </w:p>
    <w:p w:rsidR="00747919" w:rsidRPr="006006BD" w:rsidRDefault="00747919" w:rsidP="00747919">
      <w:pPr>
        <w:pStyle w:val="Heading1"/>
        <w:pBdr>
          <w:bottom w:val="single" w:sz="8" w:space="0" w:color="auto"/>
        </w:pBdr>
        <w:rPr>
          <w:rFonts w:asciiTheme="minorHAnsi" w:hAnsiTheme="minorHAnsi" w:cstheme="minorHAnsi"/>
          <w:b/>
          <w:color w:val="auto"/>
          <w:sz w:val="24"/>
          <w:lang w:val="lv-LV"/>
        </w:rPr>
      </w:pPr>
      <w:bookmarkStart w:id="7" w:name="_Toc43198264"/>
      <w:bookmarkStart w:id="8" w:name="_Toc51146297"/>
      <w:r w:rsidRPr="006006BD">
        <w:rPr>
          <w:rFonts w:asciiTheme="minorHAnsi" w:hAnsiTheme="minorHAnsi" w:cstheme="minorHAnsi"/>
          <w:b/>
          <w:color w:val="auto"/>
          <w:sz w:val="24"/>
          <w:lang w:val="lv-LV"/>
        </w:rPr>
        <w:t>Dzelzceļa kustības drošības līmeņa pārraudzība</w:t>
      </w:r>
      <w:bookmarkEnd w:id="7"/>
      <w:bookmarkEnd w:id="8"/>
    </w:p>
    <w:p w:rsidR="006C4EE2" w:rsidRPr="006006BD" w:rsidRDefault="00747919" w:rsidP="006C4EE2">
      <w:pPr>
        <w:pStyle w:val="ListParagraph"/>
        <w:spacing w:after="120"/>
        <w:ind w:left="0" w:firstLine="720"/>
        <w:contextualSpacing w:val="0"/>
        <w:jc w:val="both"/>
        <w:rPr>
          <w:rFonts w:asciiTheme="minorHAnsi" w:hAnsiTheme="minorHAnsi" w:cstheme="minorHAnsi"/>
          <w:sz w:val="22"/>
          <w:szCs w:val="22"/>
        </w:rPr>
      </w:pPr>
      <w:r w:rsidRPr="006006BD">
        <w:rPr>
          <w:rFonts w:asciiTheme="minorHAnsi" w:hAnsiTheme="minorHAnsi" w:cstheme="minorHAnsi"/>
          <w:sz w:val="22"/>
          <w:szCs w:val="22"/>
        </w:rPr>
        <w:t>Statistikas dati liecina, ka pēdējo desmit gadu laikā Latvijā nopietnie dzelzceļa satiksmes negadījumi ir būtiski samazinājušies.  Taču Latvijā joprojām ir ievērojami liels cietušo personu skaits</w:t>
      </w:r>
      <w:r w:rsidR="006C4EE2" w:rsidRPr="006006BD">
        <w:rPr>
          <w:rFonts w:asciiTheme="minorHAnsi" w:hAnsiTheme="minorHAnsi" w:cstheme="minorHAnsi"/>
          <w:sz w:val="22"/>
          <w:szCs w:val="22"/>
        </w:rPr>
        <w:t xml:space="preserve">. </w:t>
      </w:r>
      <w:r w:rsidRPr="006006BD">
        <w:rPr>
          <w:rFonts w:asciiTheme="minorHAnsi" w:hAnsiTheme="minorHAnsi" w:cstheme="minorHAnsi"/>
          <w:sz w:val="22"/>
          <w:szCs w:val="22"/>
        </w:rPr>
        <w:t xml:space="preserve"> </w:t>
      </w:r>
      <w:r w:rsidR="006C4EE2" w:rsidRPr="006006BD">
        <w:rPr>
          <w:rFonts w:asciiTheme="minorHAnsi" w:hAnsiTheme="minorHAnsi" w:cstheme="minorHAnsi"/>
          <w:sz w:val="22"/>
          <w:szCs w:val="22"/>
        </w:rPr>
        <w:t xml:space="preserve">Pastāv riski cietušo kategorijā “Citas” personas. Riski ir saistāmi ar cietušo personu atrašanos alkohola reibuma stāvoklī uz peroniem un sliedēm. Kopumā kustības drošības stāvoklis nav pasliktinājies, nopietnu negadījumu skaits pakāpeniski samazinās. </w:t>
      </w:r>
    </w:p>
    <w:p w:rsidR="00747919" w:rsidRPr="006006BD" w:rsidRDefault="00747919" w:rsidP="00747919">
      <w:pPr>
        <w:spacing w:after="0" w:line="240" w:lineRule="auto"/>
        <w:ind w:firstLine="720"/>
        <w:jc w:val="right"/>
        <w:rPr>
          <w:rFonts w:cstheme="minorHAnsi"/>
          <w:b/>
          <w:color w:val="auto"/>
          <w:szCs w:val="22"/>
          <w:lang w:val="lv-LV"/>
        </w:rPr>
      </w:pPr>
      <w:r w:rsidRPr="006006BD">
        <w:rPr>
          <w:rFonts w:cstheme="minorHAnsi"/>
          <w:b/>
          <w:color w:val="auto"/>
          <w:szCs w:val="22"/>
          <w:lang w:val="lv-LV"/>
        </w:rPr>
        <w:t>1.tabula</w:t>
      </w:r>
      <w:r w:rsidR="009D3802">
        <w:rPr>
          <w:rFonts w:cstheme="minorHAnsi"/>
          <w:b/>
          <w:color w:val="auto"/>
          <w:szCs w:val="22"/>
          <w:lang w:val="lv-LV"/>
        </w:rPr>
        <w:t>.</w:t>
      </w:r>
      <w:r w:rsidRPr="006006BD">
        <w:rPr>
          <w:rFonts w:cstheme="minorHAnsi"/>
          <w:b/>
          <w:color w:val="auto"/>
          <w:szCs w:val="22"/>
          <w:lang w:val="lv-LV"/>
        </w:rPr>
        <w:t xml:space="preserve"> Drošības līmeņa novērtējums </w:t>
      </w:r>
    </w:p>
    <w:p w:rsidR="00217190" w:rsidRPr="006006BD" w:rsidRDefault="00217190" w:rsidP="00747919">
      <w:pPr>
        <w:spacing w:after="0" w:line="240" w:lineRule="auto"/>
        <w:ind w:firstLine="720"/>
        <w:jc w:val="right"/>
        <w:rPr>
          <w:rFonts w:cstheme="minorHAnsi"/>
          <w:b/>
          <w:color w:val="auto"/>
          <w:szCs w:val="22"/>
          <w:lang w:val="lv-LV"/>
        </w:rPr>
      </w:pPr>
    </w:p>
    <w:tbl>
      <w:tblPr>
        <w:tblW w:w="10065"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544"/>
        <w:gridCol w:w="1418"/>
        <w:gridCol w:w="1701"/>
        <w:gridCol w:w="1701"/>
        <w:gridCol w:w="1701"/>
      </w:tblGrid>
      <w:tr w:rsidR="00217190" w:rsidRPr="006006BD" w:rsidTr="00217190">
        <w:tc>
          <w:tcPr>
            <w:tcW w:w="3544" w:type="dxa"/>
            <w:shd w:val="clear" w:color="auto" w:fill="auto"/>
          </w:tcPr>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sz w:val="22"/>
                <w:szCs w:val="22"/>
                <w:lang w:val="lv-LV"/>
              </w:rPr>
              <w:tab/>
            </w:r>
            <w:r w:rsidRPr="006006BD">
              <w:rPr>
                <w:rFonts w:asciiTheme="minorHAnsi" w:hAnsiTheme="minorHAnsi" w:cstheme="minorHAnsi"/>
                <w:b/>
                <w:sz w:val="22"/>
                <w:szCs w:val="22"/>
                <w:lang w:val="lv-LV"/>
              </w:rPr>
              <w:t>Rādītāji</w:t>
            </w:r>
          </w:p>
        </w:tc>
        <w:tc>
          <w:tcPr>
            <w:tcW w:w="1418" w:type="dxa"/>
            <w:shd w:val="clear" w:color="auto" w:fill="auto"/>
          </w:tcPr>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Vērtība</w:t>
            </w:r>
          </w:p>
        </w:tc>
        <w:tc>
          <w:tcPr>
            <w:tcW w:w="1701" w:type="dxa"/>
          </w:tcPr>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701" w:type="dxa"/>
          </w:tcPr>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701" w:type="dxa"/>
          </w:tcPr>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217190" w:rsidRPr="006006BD" w:rsidRDefault="00217190" w:rsidP="00217190">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w:t>
            </w:r>
            <w:r w:rsidR="00F51C0C" w:rsidRPr="006006BD">
              <w:rPr>
                <w:rFonts w:asciiTheme="minorHAnsi" w:hAnsiTheme="minorHAnsi" w:cstheme="minorHAnsi"/>
                <w:b/>
                <w:sz w:val="22"/>
                <w:szCs w:val="22"/>
                <w:lang w:val="lv-LV"/>
              </w:rPr>
              <w:t>019</w:t>
            </w:r>
          </w:p>
        </w:tc>
      </w:tr>
      <w:tr w:rsidR="00217190" w:rsidRPr="006006BD" w:rsidTr="007E4604">
        <w:tc>
          <w:tcPr>
            <w:tcW w:w="3544" w:type="dxa"/>
            <w:shd w:val="clear" w:color="auto" w:fill="auto"/>
          </w:tcPr>
          <w:p w:rsidR="00217190" w:rsidRPr="006006BD" w:rsidRDefault="00217190" w:rsidP="00217190">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Pasažieru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1.1)</w:t>
            </w:r>
            <w:r w:rsidRPr="006006BD">
              <w:rPr>
                <w:rStyle w:val="FootnoteReference"/>
                <w:rFonts w:asciiTheme="minorHAnsi" w:hAnsiTheme="minorHAnsi" w:cstheme="minorHAnsi"/>
                <w:sz w:val="22"/>
                <w:szCs w:val="22"/>
                <w:lang w:val="lv-LV"/>
              </w:rPr>
              <w:footnoteReference w:id="2"/>
            </w:r>
          </w:p>
        </w:tc>
        <w:tc>
          <w:tcPr>
            <w:tcW w:w="1418" w:type="dxa"/>
            <w:shd w:val="clear" w:color="auto" w:fill="auto"/>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78,20 (</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217190" w:rsidRPr="006006BD" w:rsidTr="007E4604">
        <w:tc>
          <w:tcPr>
            <w:tcW w:w="3544" w:type="dxa"/>
            <w:shd w:val="clear" w:color="auto" w:fill="auto"/>
          </w:tcPr>
          <w:p w:rsidR="00217190" w:rsidRPr="006006BD" w:rsidRDefault="00217190" w:rsidP="00217190">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Pasažieru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1.2)</w:t>
            </w:r>
          </w:p>
        </w:tc>
        <w:tc>
          <w:tcPr>
            <w:tcW w:w="1418" w:type="dxa"/>
            <w:shd w:val="clear" w:color="auto" w:fill="auto"/>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0,665(</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217190" w:rsidRPr="006006BD" w:rsidRDefault="00217190" w:rsidP="00217190">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B70D99">
        <w:tc>
          <w:tcPr>
            <w:tcW w:w="3544" w:type="dxa"/>
            <w:shd w:val="clear" w:color="auto" w:fill="auto"/>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sz w:val="22"/>
                <w:szCs w:val="22"/>
                <w:lang w:val="lv-LV"/>
              </w:rPr>
              <w:lastRenderedPageBreak/>
              <w:tab/>
            </w:r>
            <w:r w:rsidRPr="006006BD">
              <w:rPr>
                <w:rFonts w:asciiTheme="minorHAnsi" w:hAnsiTheme="minorHAnsi" w:cstheme="minorHAnsi"/>
                <w:b/>
                <w:sz w:val="22"/>
                <w:szCs w:val="22"/>
                <w:lang w:val="lv-LV"/>
              </w:rPr>
              <w:t>Rādītāji</w:t>
            </w:r>
          </w:p>
        </w:tc>
        <w:tc>
          <w:tcPr>
            <w:tcW w:w="1418" w:type="dxa"/>
            <w:shd w:val="clear" w:color="auto" w:fill="auto"/>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Vērtība</w:t>
            </w:r>
          </w:p>
        </w:tc>
        <w:tc>
          <w:tcPr>
            <w:tcW w:w="1701" w:type="dxa"/>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701" w:type="dxa"/>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701" w:type="dxa"/>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Izpildes kritērijs</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Darbinieku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2)</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64,80(</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Pārbrauktuvju lietotāju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3)</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239,0 (</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„Citu” personu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4)</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11,60  (</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Pastāv riski</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Pastāv riski</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Dzelzceļa teritorijā nepiederošu personu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5)</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1310,0 (</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Sabiedrības risks (</w:t>
            </w:r>
            <w:r w:rsidRPr="006006BD">
              <w:rPr>
                <w:rFonts w:asciiTheme="minorHAnsi" w:hAnsiTheme="minorHAnsi" w:cstheme="minorHAnsi"/>
                <w:i/>
                <w:sz w:val="22"/>
                <w:szCs w:val="22"/>
                <w:lang w:val="lv-LV"/>
              </w:rPr>
              <w:t>NRV</w:t>
            </w:r>
            <w:r w:rsidRPr="006006BD">
              <w:rPr>
                <w:rFonts w:asciiTheme="minorHAnsi" w:hAnsiTheme="minorHAnsi" w:cstheme="minorHAnsi"/>
                <w:sz w:val="22"/>
                <w:szCs w:val="22"/>
                <w:lang w:val="lv-LV"/>
              </w:rPr>
              <w:t xml:space="preserve"> 6)</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1660,0 (</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-9</w:t>
            </w:r>
            <w:r w:rsidRPr="006006BD">
              <w:rPr>
                <w:rFonts w:asciiTheme="minorHAnsi" w:hAnsiTheme="minorHAnsi" w:cstheme="minorHAnsi"/>
                <w:sz w:val="22"/>
                <w:szCs w:val="22"/>
                <w:lang w:val="lv-LV"/>
              </w:rPr>
              <w:t>)</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7E4604">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Nopietnu negadījumu skaits gadā</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24</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F51C0C">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Dzelzceļa satiksmes pārkāpumu izmeklēšanas gadījumi gadā </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39</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F51C0C">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Nopietnu negadījumu rādītājs uz vilcienkilometriem </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1,50(</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-6</w:t>
            </w:r>
            <w:r w:rsidRPr="006006BD">
              <w:rPr>
                <w:rFonts w:asciiTheme="minorHAnsi" w:hAnsiTheme="minorHAnsi" w:cstheme="minorHAnsi"/>
                <w:sz w:val="22"/>
                <w:szCs w:val="22"/>
                <w:lang w:val="lv-LV"/>
              </w:rPr>
              <w:t>)</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r w:rsidR="00806C8F" w:rsidRPr="006006BD" w:rsidTr="00F51C0C">
        <w:tc>
          <w:tcPr>
            <w:tcW w:w="3544" w:type="dxa"/>
            <w:shd w:val="clear" w:color="auto" w:fill="auto"/>
          </w:tcPr>
          <w:p w:rsidR="00806C8F" w:rsidRPr="006006BD" w:rsidRDefault="00806C8F" w:rsidP="00806C8F">
            <w:pPr>
              <w:pStyle w:val="NormalWeb"/>
              <w:spacing w:before="0" w:beforeAutospacing="0" w:after="0" w:afterAutospacing="0"/>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Cietušo personu rādītājs uz vilcienkilometriem </w:t>
            </w:r>
          </w:p>
        </w:tc>
        <w:tc>
          <w:tcPr>
            <w:tcW w:w="1418"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1,45(</w:t>
            </w:r>
            <w:r w:rsidRPr="006006BD">
              <w:rPr>
                <w:rFonts w:asciiTheme="minorHAnsi" w:hAnsiTheme="minorHAnsi" w:cstheme="minorHAnsi"/>
                <w:sz w:val="22"/>
                <w:szCs w:val="22"/>
                <w:vertAlign w:val="superscript"/>
                <w:lang w:val="lv-LV"/>
              </w:rPr>
              <w:t>x</w:t>
            </w:r>
            <w:r w:rsidRPr="006006BD">
              <w:rPr>
                <w:rFonts w:asciiTheme="minorHAnsi" w:hAnsiTheme="minorHAnsi" w:cstheme="minorHAnsi"/>
                <w:sz w:val="22"/>
                <w:szCs w:val="22"/>
                <w:lang w:val="lv-LV"/>
              </w:rPr>
              <w:t>10</w:t>
            </w:r>
            <w:r w:rsidRPr="006006BD">
              <w:rPr>
                <w:rFonts w:asciiTheme="minorHAnsi" w:hAnsiTheme="minorHAnsi" w:cstheme="minorHAnsi"/>
                <w:sz w:val="22"/>
                <w:szCs w:val="22"/>
                <w:vertAlign w:val="superscript"/>
                <w:lang w:val="lv-LV"/>
              </w:rPr>
              <w:t>-6</w:t>
            </w:r>
            <w:r w:rsidRPr="006006BD">
              <w:rPr>
                <w:rFonts w:asciiTheme="minorHAnsi" w:hAnsiTheme="minorHAnsi" w:cstheme="minorHAnsi"/>
                <w:sz w:val="22"/>
                <w:szCs w:val="22"/>
                <w:lang w:val="lv-LV"/>
              </w:rPr>
              <w:t>)</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Pastāv riski</w:t>
            </w:r>
          </w:p>
        </w:tc>
        <w:tc>
          <w:tcPr>
            <w:tcW w:w="1701"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c>
          <w:tcPr>
            <w:tcW w:w="1701"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Nav pārsniegts</w:t>
            </w:r>
          </w:p>
        </w:tc>
      </w:tr>
    </w:tbl>
    <w:p w:rsidR="00747919" w:rsidRPr="006006BD" w:rsidRDefault="00747919" w:rsidP="00747919">
      <w:pPr>
        <w:pStyle w:val="ListParagraph"/>
        <w:spacing w:after="120"/>
        <w:ind w:left="0" w:firstLine="720"/>
        <w:contextualSpacing w:val="0"/>
        <w:jc w:val="both"/>
        <w:rPr>
          <w:rFonts w:asciiTheme="minorHAnsi" w:hAnsiTheme="minorHAnsi" w:cstheme="minorHAnsi"/>
          <w:sz w:val="22"/>
          <w:szCs w:val="22"/>
        </w:rPr>
      </w:pPr>
    </w:p>
    <w:p w:rsidR="006C4EE2" w:rsidRPr="006006BD" w:rsidRDefault="00B275E4" w:rsidP="00B275E4">
      <w:pPr>
        <w:pStyle w:val="BodyText"/>
        <w:tabs>
          <w:tab w:val="left" w:pos="709"/>
        </w:tabs>
        <w:jc w:val="both"/>
        <w:rPr>
          <w:rFonts w:asciiTheme="minorHAnsi" w:hAnsiTheme="minorHAnsi" w:cstheme="minorHAnsi"/>
          <w:sz w:val="22"/>
          <w:szCs w:val="22"/>
        </w:rPr>
      </w:pPr>
      <w:r w:rsidRPr="006006BD">
        <w:rPr>
          <w:rFonts w:asciiTheme="minorHAnsi" w:hAnsiTheme="minorHAnsi" w:cstheme="minorHAnsi"/>
          <w:sz w:val="22"/>
          <w:szCs w:val="22"/>
        </w:rPr>
        <w:tab/>
      </w:r>
      <w:r w:rsidR="006C4EE2" w:rsidRPr="006006BD">
        <w:rPr>
          <w:rFonts w:asciiTheme="minorHAnsi" w:hAnsiTheme="minorHAnsi" w:cstheme="minorHAnsi"/>
          <w:sz w:val="22"/>
          <w:szCs w:val="22"/>
        </w:rPr>
        <w:t>VDzTI no 2004.gada apkopo datus par dzelzcela satiksmes negadījumiem, veic drošības rādītāju uzskaiti un analīzē drošības stāvokli uz dzelzceļiem.  Ir secināms, ka dzelzceļa satiksmes negadījumu skaits pakāpeniski samazinās.</w:t>
      </w:r>
      <w:r w:rsidR="00747919" w:rsidRPr="006006BD">
        <w:rPr>
          <w:rFonts w:asciiTheme="minorHAnsi" w:hAnsiTheme="minorHAnsi" w:cstheme="minorHAnsi"/>
          <w:sz w:val="22"/>
          <w:szCs w:val="22"/>
        </w:rPr>
        <w:tab/>
      </w:r>
    </w:p>
    <w:p w:rsidR="00747919" w:rsidRPr="006006BD" w:rsidRDefault="00B275E4" w:rsidP="00747919">
      <w:pPr>
        <w:pStyle w:val="BodyText"/>
        <w:tabs>
          <w:tab w:val="left" w:pos="709"/>
        </w:tabs>
        <w:spacing w:after="0"/>
        <w:jc w:val="both"/>
        <w:rPr>
          <w:rFonts w:asciiTheme="minorHAnsi" w:hAnsiTheme="minorHAnsi" w:cstheme="minorHAnsi"/>
          <w:sz w:val="22"/>
          <w:szCs w:val="22"/>
        </w:rPr>
      </w:pPr>
      <w:r w:rsidRPr="006006BD">
        <w:rPr>
          <w:rFonts w:asciiTheme="minorHAnsi" w:hAnsiTheme="minorHAnsi" w:cstheme="minorHAnsi"/>
          <w:sz w:val="22"/>
          <w:szCs w:val="22"/>
        </w:rPr>
        <w:tab/>
      </w:r>
      <w:r w:rsidR="00747919" w:rsidRPr="006006BD">
        <w:rPr>
          <w:rFonts w:asciiTheme="minorHAnsi" w:hAnsiTheme="minorHAnsi" w:cstheme="minorHAnsi"/>
          <w:sz w:val="22"/>
          <w:szCs w:val="22"/>
        </w:rPr>
        <w:t>Ir jāpievērš uzmanība ne tikai faktoriem, kas tiešā mērā ietekmē dzelzceļa drošību (negadījumu skaits, tajos bojāgājušo un cietušo skaits, kaitējums videi, u.t.t.), bet ir arī jānorāda, ka drošība ir atkarīga no dzelzceļa transporta kustībā iesaistīto personu attieksmes, dzelzceļa vai ceļu transportlīdzekļa tehniskā stāvokļa un infrastruktūras. Būtiskākie apstākļi, kas ietekmē drošību dzelzceļa transportā:</w:t>
      </w:r>
    </w:p>
    <w:p w:rsidR="00747919" w:rsidRPr="006006BD" w:rsidRDefault="00747919" w:rsidP="00747919">
      <w:pPr>
        <w:pStyle w:val="BodyText"/>
        <w:numPr>
          <w:ilvl w:val="0"/>
          <w:numId w:val="2"/>
        </w:numPr>
        <w:tabs>
          <w:tab w:val="left" w:pos="709"/>
        </w:tabs>
        <w:spacing w:after="0"/>
        <w:ind w:left="1139" w:hanging="357"/>
        <w:jc w:val="both"/>
        <w:rPr>
          <w:rFonts w:asciiTheme="minorHAnsi" w:hAnsiTheme="minorHAnsi" w:cstheme="minorHAnsi"/>
          <w:sz w:val="22"/>
          <w:szCs w:val="22"/>
        </w:rPr>
      </w:pPr>
      <w:r w:rsidRPr="006006BD">
        <w:rPr>
          <w:rFonts w:asciiTheme="minorHAnsi" w:hAnsiTheme="minorHAnsi" w:cstheme="minorHAnsi"/>
          <w:sz w:val="22"/>
          <w:szCs w:val="22"/>
        </w:rPr>
        <w:t>personu drošības prasību neievērošana šķērsojot sliežu ceļus (nesekošana līdzi stāvoklim šķērsojot pārejas, pārgalvīga uzvedība uz perona, zīmju neievērošana, austiņu lietošana);</w:t>
      </w:r>
    </w:p>
    <w:p w:rsidR="00747919" w:rsidRPr="006006BD" w:rsidRDefault="00B275E4" w:rsidP="00B275E4">
      <w:pPr>
        <w:pStyle w:val="BodyText"/>
        <w:numPr>
          <w:ilvl w:val="0"/>
          <w:numId w:val="2"/>
        </w:numPr>
        <w:tabs>
          <w:tab w:val="left" w:pos="709"/>
        </w:tabs>
        <w:spacing w:after="0"/>
        <w:ind w:left="1139" w:hanging="357"/>
        <w:jc w:val="both"/>
        <w:rPr>
          <w:rFonts w:asciiTheme="minorHAnsi" w:hAnsiTheme="minorHAnsi" w:cstheme="minorHAnsi"/>
          <w:sz w:val="22"/>
          <w:szCs w:val="22"/>
        </w:rPr>
      </w:pPr>
      <w:r w:rsidRPr="006006BD">
        <w:rPr>
          <w:rFonts w:asciiTheme="minorHAnsi" w:hAnsiTheme="minorHAnsi" w:cstheme="minorHAnsi"/>
          <w:sz w:val="22"/>
          <w:szCs w:val="22"/>
        </w:rPr>
        <w:t>personu atrašanās reibumā</w:t>
      </w:r>
      <w:r w:rsidR="00747919" w:rsidRPr="006006BD">
        <w:rPr>
          <w:rFonts w:asciiTheme="minorHAnsi" w:hAnsiTheme="minorHAnsi" w:cstheme="minorHAnsi"/>
          <w:sz w:val="22"/>
          <w:szCs w:val="22"/>
        </w:rPr>
        <w:t>.</w:t>
      </w:r>
    </w:p>
    <w:p w:rsidR="00747919" w:rsidRPr="006006BD" w:rsidRDefault="00747919" w:rsidP="00B275E4">
      <w:pPr>
        <w:pStyle w:val="BodyText"/>
        <w:tabs>
          <w:tab w:val="left" w:pos="709"/>
        </w:tabs>
        <w:spacing w:after="0"/>
        <w:jc w:val="both"/>
        <w:rPr>
          <w:rFonts w:asciiTheme="minorHAnsi" w:hAnsiTheme="minorHAnsi" w:cstheme="minorHAnsi"/>
          <w:sz w:val="22"/>
          <w:szCs w:val="22"/>
        </w:rPr>
      </w:pPr>
    </w:p>
    <w:p w:rsidR="00747919" w:rsidRPr="006006BD" w:rsidRDefault="00747919" w:rsidP="00747919">
      <w:pPr>
        <w:pStyle w:val="Heading1"/>
        <w:pBdr>
          <w:bottom w:val="single" w:sz="8" w:space="0" w:color="auto"/>
        </w:pBdr>
        <w:rPr>
          <w:rFonts w:asciiTheme="minorHAnsi" w:hAnsiTheme="minorHAnsi" w:cstheme="minorHAnsi"/>
          <w:b/>
          <w:color w:val="auto"/>
          <w:sz w:val="24"/>
          <w:lang w:val="lv-LV"/>
        </w:rPr>
      </w:pPr>
      <w:bookmarkStart w:id="9" w:name="_Toc43198265"/>
      <w:bookmarkStart w:id="10" w:name="_Toc51146298"/>
      <w:r w:rsidRPr="006006BD">
        <w:rPr>
          <w:rFonts w:asciiTheme="minorHAnsi" w:hAnsiTheme="minorHAnsi" w:cstheme="minorHAnsi"/>
          <w:b/>
          <w:color w:val="auto"/>
          <w:sz w:val="24"/>
          <w:lang w:val="lv-LV"/>
        </w:rPr>
        <w:t>Uzraudzība</w:t>
      </w:r>
      <w:bookmarkEnd w:id="9"/>
      <w:bookmarkEnd w:id="10"/>
    </w:p>
    <w:p w:rsidR="00747919" w:rsidRPr="006006BD" w:rsidRDefault="00747919" w:rsidP="00747919">
      <w:pPr>
        <w:tabs>
          <w:tab w:val="left" w:pos="993"/>
        </w:tabs>
        <w:spacing w:after="120" w:line="240" w:lineRule="auto"/>
        <w:ind w:left="-142" w:firstLine="851"/>
        <w:jc w:val="both"/>
        <w:rPr>
          <w:rFonts w:cstheme="minorHAnsi"/>
          <w:color w:val="auto"/>
          <w:sz w:val="22"/>
          <w:szCs w:val="22"/>
          <w:lang w:val="lv-LV"/>
        </w:rPr>
      </w:pPr>
      <w:r w:rsidRPr="006006BD">
        <w:rPr>
          <w:rFonts w:cstheme="minorHAnsi"/>
          <w:color w:val="auto"/>
          <w:sz w:val="22"/>
          <w:szCs w:val="22"/>
          <w:lang w:val="lv-LV"/>
        </w:rPr>
        <w:t xml:space="preserve">Veicot uzraudzību, VDzTI </w:t>
      </w:r>
      <w:r w:rsidR="00BE5814" w:rsidRPr="006006BD">
        <w:rPr>
          <w:rFonts w:cstheme="minorHAnsi"/>
          <w:color w:val="auto"/>
          <w:sz w:val="22"/>
          <w:szCs w:val="22"/>
          <w:lang w:val="lv-LV"/>
        </w:rPr>
        <w:t>ievēro vals</w:t>
      </w:r>
      <w:r w:rsidRPr="006006BD">
        <w:rPr>
          <w:rFonts w:cstheme="minorHAnsi"/>
          <w:color w:val="auto"/>
          <w:sz w:val="22"/>
          <w:szCs w:val="22"/>
          <w:lang w:val="lv-LV"/>
        </w:rPr>
        <w:t>ts drošības iestādes pamatpri</w:t>
      </w:r>
      <w:r w:rsidR="00BE5814" w:rsidRPr="006006BD">
        <w:rPr>
          <w:rFonts w:cstheme="minorHAnsi"/>
          <w:color w:val="auto"/>
          <w:sz w:val="22"/>
          <w:szCs w:val="22"/>
          <w:lang w:val="lv-LV"/>
        </w:rPr>
        <w:t>ncipus uzraudzības jomā – samērīgumu</w:t>
      </w:r>
      <w:r w:rsidRPr="006006BD">
        <w:rPr>
          <w:rFonts w:cstheme="minorHAnsi"/>
          <w:color w:val="auto"/>
          <w:sz w:val="22"/>
          <w:szCs w:val="22"/>
          <w:lang w:val="lv-LV"/>
        </w:rPr>
        <w:t>, konsekvent</w:t>
      </w:r>
      <w:r w:rsidR="00BE5814" w:rsidRPr="006006BD">
        <w:rPr>
          <w:rFonts w:cstheme="minorHAnsi"/>
          <w:color w:val="auto"/>
          <w:sz w:val="22"/>
          <w:szCs w:val="22"/>
          <w:lang w:val="lv-LV"/>
        </w:rPr>
        <w:t>u pieeju</w:t>
      </w:r>
      <w:r w:rsidRPr="006006BD">
        <w:rPr>
          <w:rFonts w:cstheme="minorHAnsi"/>
          <w:color w:val="auto"/>
          <w:sz w:val="22"/>
          <w:szCs w:val="22"/>
          <w:lang w:val="lv-LV"/>
        </w:rPr>
        <w:t>, lietderīb</w:t>
      </w:r>
      <w:r w:rsidR="00BE5814" w:rsidRPr="006006BD">
        <w:rPr>
          <w:rFonts w:cstheme="minorHAnsi"/>
          <w:color w:val="auto"/>
          <w:sz w:val="22"/>
          <w:szCs w:val="22"/>
          <w:lang w:val="lv-LV"/>
        </w:rPr>
        <w:t>u</w:t>
      </w:r>
      <w:r w:rsidRPr="006006BD">
        <w:rPr>
          <w:rFonts w:cstheme="minorHAnsi"/>
          <w:color w:val="auto"/>
          <w:sz w:val="22"/>
          <w:szCs w:val="22"/>
          <w:lang w:val="lv-LV"/>
        </w:rPr>
        <w:t>, pārredzamīb</w:t>
      </w:r>
      <w:r w:rsidR="00BE5814" w:rsidRPr="006006BD">
        <w:rPr>
          <w:rFonts w:cstheme="minorHAnsi"/>
          <w:color w:val="auto"/>
          <w:sz w:val="22"/>
          <w:szCs w:val="22"/>
          <w:lang w:val="lv-LV"/>
        </w:rPr>
        <w:t>u</w:t>
      </w:r>
      <w:r w:rsidRPr="006006BD">
        <w:rPr>
          <w:rFonts w:cstheme="minorHAnsi"/>
          <w:color w:val="auto"/>
          <w:sz w:val="22"/>
          <w:szCs w:val="22"/>
          <w:lang w:val="lv-LV"/>
        </w:rPr>
        <w:t>, atbildīb</w:t>
      </w:r>
      <w:r w:rsidR="00BE5814" w:rsidRPr="006006BD">
        <w:rPr>
          <w:rFonts w:cstheme="minorHAnsi"/>
          <w:color w:val="auto"/>
          <w:sz w:val="22"/>
          <w:szCs w:val="22"/>
          <w:lang w:val="lv-LV"/>
        </w:rPr>
        <w:t>u</w:t>
      </w:r>
      <w:r w:rsidRPr="006006BD">
        <w:rPr>
          <w:rFonts w:cstheme="minorHAnsi"/>
          <w:color w:val="auto"/>
          <w:sz w:val="22"/>
          <w:szCs w:val="22"/>
          <w:lang w:val="lv-LV"/>
        </w:rPr>
        <w:t xml:space="preserve"> un sadarbīb</w:t>
      </w:r>
      <w:r w:rsidR="00BE5814" w:rsidRPr="006006BD">
        <w:rPr>
          <w:rFonts w:cstheme="minorHAnsi"/>
          <w:color w:val="auto"/>
          <w:sz w:val="22"/>
          <w:szCs w:val="22"/>
          <w:lang w:val="lv-LV"/>
        </w:rPr>
        <w:t>u</w:t>
      </w:r>
      <w:r w:rsidRPr="006006BD">
        <w:rPr>
          <w:rFonts w:cstheme="minorHAnsi"/>
          <w:color w:val="auto"/>
          <w:sz w:val="22"/>
          <w:szCs w:val="22"/>
          <w:lang w:val="lv-LV"/>
        </w:rPr>
        <w:t xml:space="preserve">. VDzTI uzraudzību nodrošina, balstoties uz identificētiem riskiem – reģistrētiem negadījumiem, konstatētajiem trūkumiem un to pakāpēm, drošības ziņojumiem. Ar savām pārbaudēm VDzTI veic </w:t>
      </w:r>
      <w:r w:rsidR="0032564D">
        <w:rPr>
          <w:rFonts w:cstheme="minorHAnsi"/>
          <w:color w:val="auto"/>
          <w:sz w:val="22"/>
          <w:szCs w:val="22"/>
          <w:lang w:val="lv-LV"/>
        </w:rPr>
        <w:t xml:space="preserve">sektora dalībnieku </w:t>
      </w:r>
      <w:r w:rsidRPr="006006BD">
        <w:rPr>
          <w:rFonts w:cstheme="minorHAnsi"/>
          <w:color w:val="auto"/>
          <w:sz w:val="22"/>
          <w:szCs w:val="22"/>
          <w:lang w:val="lv-LV"/>
        </w:rPr>
        <w:t xml:space="preserve">darbības kontroli </w:t>
      </w:r>
      <w:r w:rsidR="0032564D">
        <w:rPr>
          <w:rFonts w:cstheme="minorHAnsi"/>
          <w:color w:val="auto"/>
          <w:sz w:val="22"/>
          <w:szCs w:val="22"/>
          <w:lang w:val="lv-LV"/>
        </w:rPr>
        <w:t xml:space="preserve">dzelzceļa </w:t>
      </w:r>
      <w:r w:rsidRPr="006006BD">
        <w:rPr>
          <w:rFonts w:cstheme="minorHAnsi"/>
          <w:color w:val="auto"/>
          <w:sz w:val="22"/>
          <w:szCs w:val="22"/>
          <w:lang w:val="lv-LV"/>
        </w:rPr>
        <w:t xml:space="preserve">ekspluatācijas laikā, iekārtu, drošības aprīkojuma uzraudzību, personāla kompetenci, bīstamo kravu dzelzceļa </w:t>
      </w:r>
      <w:r w:rsidR="0032564D">
        <w:rPr>
          <w:rFonts w:cstheme="minorHAnsi"/>
          <w:color w:val="auto"/>
          <w:sz w:val="22"/>
          <w:szCs w:val="22"/>
          <w:lang w:val="lv-LV"/>
        </w:rPr>
        <w:t xml:space="preserve">pārvadājumu </w:t>
      </w:r>
      <w:r w:rsidRPr="006006BD">
        <w:rPr>
          <w:rFonts w:cstheme="minorHAnsi"/>
          <w:color w:val="auto"/>
          <w:sz w:val="22"/>
          <w:szCs w:val="22"/>
          <w:lang w:val="lv-LV"/>
        </w:rPr>
        <w:t>uzraudzību, u.c.</w:t>
      </w:r>
    </w:p>
    <w:p w:rsidR="00747919" w:rsidRPr="006006BD" w:rsidRDefault="00747919" w:rsidP="00747919">
      <w:pPr>
        <w:spacing w:after="0" w:line="240" w:lineRule="auto"/>
        <w:ind w:firstLine="720"/>
        <w:jc w:val="right"/>
        <w:rPr>
          <w:rFonts w:cstheme="minorHAnsi"/>
          <w:b/>
          <w:color w:val="auto"/>
          <w:szCs w:val="22"/>
          <w:lang w:val="lv-LV"/>
        </w:rPr>
      </w:pPr>
      <w:r w:rsidRPr="006006BD">
        <w:rPr>
          <w:rFonts w:cstheme="minorHAnsi"/>
          <w:b/>
          <w:color w:val="auto"/>
          <w:szCs w:val="22"/>
          <w:lang w:val="lv-LV"/>
        </w:rPr>
        <w:t>2.tabula</w:t>
      </w:r>
      <w:r w:rsidR="009D3802">
        <w:rPr>
          <w:rFonts w:cstheme="minorHAnsi"/>
          <w:b/>
          <w:color w:val="auto"/>
          <w:szCs w:val="22"/>
          <w:lang w:val="lv-LV"/>
        </w:rPr>
        <w:t>.</w:t>
      </w:r>
      <w:r w:rsidRPr="006006BD">
        <w:rPr>
          <w:rFonts w:cstheme="minorHAnsi"/>
          <w:b/>
          <w:color w:val="auto"/>
          <w:szCs w:val="22"/>
          <w:lang w:val="lv-LV"/>
        </w:rPr>
        <w:t xml:space="preserve"> Rezultatīvo radītāju novērtējums</w:t>
      </w:r>
    </w:p>
    <w:p w:rsidR="00BE5814" w:rsidRPr="006006BD" w:rsidRDefault="00BE5814" w:rsidP="00747919">
      <w:pPr>
        <w:spacing w:after="0" w:line="240" w:lineRule="auto"/>
        <w:ind w:firstLine="720"/>
        <w:jc w:val="right"/>
        <w:rPr>
          <w:rFonts w:cstheme="minorHAnsi"/>
          <w:b/>
          <w:color w:val="auto"/>
          <w:szCs w:val="22"/>
          <w:lang w:val="lv-LV"/>
        </w:rPr>
      </w:pPr>
    </w:p>
    <w:tbl>
      <w:tblPr>
        <w:tblW w:w="9781"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2835"/>
        <w:gridCol w:w="2977"/>
        <w:gridCol w:w="1276"/>
        <w:gridCol w:w="1275"/>
        <w:gridCol w:w="1418"/>
      </w:tblGrid>
      <w:tr w:rsidR="00664F7F" w:rsidRPr="006006BD" w:rsidTr="00664F7F">
        <w:tc>
          <w:tcPr>
            <w:tcW w:w="283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Darbības rezultāts</w:t>
            </w:r>
          </w:p>
        </w:tc>
        <w:tc>
          <w:tcPr>
            <w:tcW w:w="2977"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Rezultatīvais rādītājs</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275" w:type="dxa"/>
            <w:tcBorders>
              <w:bottom w:val="nil"/>
            </w:tcBorders>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418" w:type="dxa"/>
            <w:tcBorders>
              <w:bottom w:val="nil"/>
            </w:tcBorders>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664F7F" w:rsidRPr="006006BD" w:rsidRDefault="00664F7F" w:rsidP="00664F7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664F7F" w:rsidRPr="006006BD" w:rsidTr="00664F7F">
        <w:trPr>
          <w:trHeight w:val="306"/>
        </w:trPr>
        <w:tc>
          <w:tcPr>
            <w:tcW w:w="2835" w:type="dxa"/>
            <w:shd w:val="clear" w:color="auto" w:fill="auto"/>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Nodrošināti drošības pārvaldības sistēmu (</w:t>
            </w:r>
            <w:r w:rsidRPr="006006BD">
              <w:rPr>
                <w:rFonts w:asciiTheme="minorHAnsi" w:hAnsiTheme="minorHAnsi" w:cstheme="minorHAnsi"/>
                <w:i/>
                <w:sz w:val="22"/>
                <w:szCs w:val="22"/>
                <w:lang w:val="lv-LV"/>
              </w:rPr>
              <w:t>SMS</w:t>
            </w:r>
            <w:r w:rsidRPr="006006BD">
              <w:rPr>
                <w:rFonts w:asciiTheme="minorHAnsi" w:hAnsiTheme="minorHAnsi" w:cstheme="minorHAnsi"/>
                <w:sz w:val="22"/>
                <w:szCs w:val="22"/>
                <w:lang w:val="lv-LV"/>
              </w:rPr>
              <w:t xml:space="preserve">) elementu auditi </w:t>
            </w:r>
          </w:p>
        </w:tc>
        <w:tc>
          <w:tcPr>
            <w:tcW w:w="2977" w:type="dxa"/>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Veiktie </w:t>
            </w:r>
            <w:r w:rsidRPr="006006BD">
              <w:rPr>
                <w:rFonts w:asciiTheme="minorHAnsi" w:hAnsiTheme="minorHAnsi" w:cstheme="minorHAnsi"/>
                <w:i/>
                <w:sz w:val="22"/>
                <w:szCs w:val="22"/>
                <w:lang w:val="lv-LV"/>
              </w:rPr>
              <w:t>SMS</w:t>
            </w:r>
            <w:r w:rsidRPr="006006BD">
              <w:rPr>
                <w:rFonts w:asciiTheme="minorHAnsi" w:hAnsiTheme="minorHAnsi" w:cstheme="minorHAnsi"/>
                <w:sz w:val="22"/>
                <w:szCs w:val="22"/>
                <w:lang w:val="lv-LV"/>
              </w:rPr>
              <w:t xml:space="preserve"> elementu auditi gadā</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100</w:t>
            </w:r>
          </w:p>
        </w:tc>
        <w:tc>
          <w:tcPr>
            <w:tcW w:w="127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uzsākts</w:t>
            </w:r>
          </w:p>
        </w:tc>
        <w:tc>
          <w:tcPr>
            <w:tcW w:w="1418"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100</w:t>
            </w:r>
          </w:p>
        </w:tc>
      </w:tr>
      <w:tr w:rsidR="00664F7F" w:rsidRPr="006006BD" w:rsidTr="00664F7F">
        <w:trPr>
          <w:trHeight w:val="306"/>
        </w:trPr>
        <w:tc>
          <w:tcPr>
            <w:tcW w:w="2835" w:type="dxa"/>
            <w:shd w:val="clear" w:color="auto" w:fill="auto"/>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Nodrošinātas  pārbaudes</w:t>
            </w:r>
          </w:p>
        </w:tc>
        <w:tc>
          <w:tcPr>
            <w:tcW w:w="2977" w:type="dxa"/>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Pārbaužu skaits gadā</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124</w:t>
            </w:r>
          </w:p>
        </w:tc>
        <w:tc>
          <w:tcPr>
            <w:tcW w:w="127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100</w:t>
            </w:r>
          </w:p>
        </w:tc>
        <w:tc>
          <w:tcPr>
            <w:tcW w:w="1418" w:type="dxa"/>
            <w:vAlign w:val="center"/>
          </w:tcPr>
          <w:p w:rsidR="00664F7F" w:rsidRPr="006006BD" w:rsidRDefault="007B76A1"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98</w:t>
            </w:r>
          </w:p>
        </w:tc>
      </w:tr>
      <w:tr w:rsidR="00664F7F" w:rsidRPr="006006BD" w:rsidTr="00664F7F">
        <w:trPr>
          <w:trHeight w:val="306"/>
        </w:trPr>
        <w:tc>
          <w:tcPr>
            <w:tcW w:w="2835" w:type="dxa"/>
            <w:shd w:val="clear" w:color="auto" w:fill="auto"/>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Atbilstības pārbaudes ritošā sastāva vienībām</w:t>
            </w:r>
          </w:p>
        </w:tc>
        <w:tc>
          <w:tcPr>
            <w:tcW w:w="2977" w:type="dxa"/>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Pieņemtas ekspluatācijā ritošā sastāva vienības gadā</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125</w:t>
            </w:r>
          </w:p>
        </w:tc>
        <w:tc>
          <w:tcPr>
            <w:tcW w:w="127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118</w:t>
            </w:r>
          </w:p>
        </w:tc>
        <w:tc>
          <w:tcPr>
            <w:tcW w:w="1418" w:type="dxa"/>
            <w:vAlign w:val="center"/>
          </w:tcPr>
          <w:p w:rsidR="00664F7F" w:rsidRPr="006006BD" w:rsidRDefault="007B76A1"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120</w:t>
            </w:r>
          </w:p>
        </w:tc>
      </w:tr>
      <w:tr w:rsidR="00664F7F" w:rsidRPr="006006BD" w:rsidTr="00664F7F">
        <w:trPr>
          <w:trHeight w:val="306"/>
        </w:trPr>
        <w:tc>
          <w:tcPr>
            <w:tcW w:w="2835" w:type="dxa"/>
            <w:shd w:val="clear" w:color="auto" w:fill="auto"/>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Atbilstības pārbaudes ritošā sastāva tipiem</w:t>
            </w:r>
          </w:p>
        </w:tc>
        <w:tc>
          <w:tcPr>
            <w:tcW w:w="2977" w:type="dxa"/>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Pieņemti ekspluatācijā ritošā sastāva tipi gadā</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350</w:t>
            </w:r>
          </w:p>
        </w:tc>
        <w:tc>
          <w:tcPr>
            <w:tcW w:w="127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150</w:t>
            </w:r>
          </w:p>
        </w:tc>
        <w:tc>
          <w:tcPr>
            <w:tcW w:w="1418" w:type="dxa"/>
            <w:vAlign w:val="center"/>
          </w:tcPr>
          <w:p w:rsidR="00664F7F" w:rsidRPr="006006BD" w:rsidRDefault="007B76A1"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350</w:t>
            </w:r>
          </w:p>
        </w:tc>
      </w:tr>
      <w:tr w:rsidR="00664F7F" w:rsidRPr="006006BD" w:rsidTr="00664F7F">
        <w:trPr>
          <w:trHeight w:val="306"/>
        </w:trPr>
        <w:tc>
          <w:tcPr>
            <w:tcW w:w="2835" w:type="dxa"/>
            <w:shd w:val="clear" w:color="auto" w:fill="auto"/>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Dzelzceļa pārbrauktuvju apskates</w:t>
            </w:r>
          </w:p>
        </w:tc>
        <w:tc>
          <w:tcPr>
            <w:tcW w:w="2977" w:type="dxa"/>
            <w:vAlign w:val="center"/>
          </w:tcPr>
          <w:p w:rsidR="00664F7F" w:rsidRPr="006006BD" w:rsidRDefault="00664F7F" w:rsidP="00664F7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Ikgadējās dzelzceļa pārbrauktuvju apskates</w:t>
            </w:r>
          </w:p>
        </w:tc>
        <w:tc>
          <w:tcPr>
            <w:tcW w:w="1276" w:type="dxa"/>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180</w:t>
            </w:r>
          </w:p>
        </w:tc>
        <w:tc>
          <w:tcPr>
            <w:tcW w:w="1275" w:type="dxa"/>
            <w:shd w:val="clear" w:color="auto" w:fill="auto"/>
            <w:vAlign w:val="center"/>
          </w:tcPr>
          <w:p w:rsidR="00664F7F" w:rsidRPr="006006BD" w:rsidRDefault="00664F7F"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180</w:t>
            </w:r>
          </w:p>
        </w:tc>
        <w:tc>
          <w:tcPr>
            <w:tcW w:w="1418" w:type="dxa"/>
            <w:vAlign w:val="center"/>
          </w:tcPr>
          <w:p w:rsidR="00664F7F" w:rsidRPr="006006BD" w:rsidRDefault="007B76A1" w:rsidP="00664F7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221</w:t>
            </w:r>
          </w:p>
        </w:tc>
      </w:tr>
      <w:tr w:rsidR="00806C8F" w:rsidRPr="006006BD" w:rsidTr="00664F7F">
        <w:trPr>
          <w:trHeight w:val="306"/>
        </w:trPr>
        <w:tc>
          <w:tcPr>
            <w:tcW w:w="2835"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lastRenderedPageBreak/>
              <w:t>Darbības rezultāts</w:t>
            </w:r>
          </w:p>
        </w:tc>
        <w:tc>
          <w:tcPr>
            <w:tcW w:w="2977"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Rezultatīvais rādītājs</w:t>
            </w:r>
          </w:p>
        </w:tc>
        <w:tc>
          <w:tcPr>
            <w:tcW w:w="1276"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275"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418"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806C8F" w:rsidRPr="006006BD" w:rsidRDefault="00806C8F" w:rsidP="00806C8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806C8F" w:rsidRPr="006006BD" w:rsidTr="00664F7F">
        <w:trPr>
          <w:trHeight w:val="306"/>
        </w:trPr>
        <w:tc>
          <w:tcPr>
            <w:tcW w:w="2835" w:type="dxa"/>
            <w:shd w:val="clear" w:color="auto" w:fill="auto"/>
            <w:vAlign w:val="center"/>
          </w:tcPr>
          <w:p w:rsidR="00806C8F" w:rsidRPr="006006BD" w:rsidRDefault="00806C8F" w:rsidP="00806C8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Atbilstības pārbaudes dzelzceļa būvobjektiem</w:t>
            </w:r>
          </w:p>
        </w:tc>
        <w:tc>
          <w:tcPr>
            <w:tcW w:w="2977" w:type="dxa"/>
            <w:vAlign w:val="center"/>
          </w:tcPr>
          <w:p w:rsidR="00806C8F" w:rsidRPr="006006BD" w:rsidRDefault="00806C8F" w:rsidP="00806C8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Pieņemtie ekspluatācijā būvobjekti gadā</w:t>
            </w:r>
          </w:p>
        </w:tc>
        <w:tc>
          <w:tcPr>
            <w:tcW w:w="1276"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102</w:t>
            </w:r>
          </w:p>
        </w:tc>
        <w:tc>
          <w:tcPr>
            <w:tcW w:w="1275" w:type="dxa"/>
            <w:shd w:val="clear" w:color="auto" w:fill="auto"/>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66</w:t>
            </w:r>
          </w:p>
        </w:tc>
        <w:tc>
          <w:tcPr>
            <w:tcW w:w="1418" w:type="dxa"/>
            <w:vAlign w:val="center"/>
          </w:tcPr>
          <w:p w:rsidR="00806C8F" w:rsidRPr="006006BD" w:rsidRDefault="00806C8F" w:rsidP="00806C8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50</w:t>
            </w:r>
          </w:p>
        </w:tc>
      </w:tr>
    </w:tbl>
    <w:p w:rsidR="00747919" w:rsidRPr="006006BD" w:rsidRDefault="00747919" w:rsidP="00747919">
      <w:pPr>
        <w:spacing w:after="120" w:line="240" w:lineRule="auto"/>
        <w:jc w:val="both"/>
        <w:rPr>
          <w:rFonts w:cstheme="minorHAnsi"/>
          <w:color w:val="auto"/>
          <w:sz w:val="22"/>
          <w:szCs w:val="22"/>
          <w:lang w:val="lv-LV"/>
        </w:rPr>
      </w:pPr>
      <w:r w:rsidRPr="006006BD">
        <w:rPr>
          <w:rFonts w:cstheme="minorHAnsi"/>
          <w:color w:val="auto"/>
          <w:sz w:val="22"/>
          <w:szCs w:val="22"/>
          <w:lang w:val="lv-LV"/>
        </w:rPr>
        <w:tab/>
      </w:r>
    </w:p>
    <w:p w:rsidR="00747919" w:rsidRPr="006006BD" w:rsidRDefault="00747919" w:rsidP="00747919">
      <w:pPr>
        <w:pStyle w:val="Heading1"/>
        <w:pBdr>
          <w:bottom w:val="single" w:sz="8" w:space="0" w:color="auto"/>
        </w:pBdr>
        <w:rPr>
          <w:rFonts w:asciiTheme="minorHAnsi" w:hAnsiTheme="minorHAnsi" w:cstheme="minorHAnsi"/>
          <w:b/>
          <w:color w:val="auto"/>
          <w:sz w:val="24"/>
          <w:lang w:val="lv-LV"/>
        </w:rPr>
      </w:pPr>
      <w:bookmarkStart w:id="11" w:name="_Toc43198266"/>
      <w:bookmarkStart w:id="12" w:name="_Toc51146299"/>
      <w:r w:rsidRPr="006006BD">
        <w:rPr>
          <w:rFonts w:asciiTheme="minorHAnsi" w:hAnsiTheme="minorHAnsi" w:cstheme="minorHAnsi"/>
          <w:b/>
          <w:color w:val="auto"/>
          <w:sz w:val="24"/>
          <w:lang w:val="lv-LV"/>
        </w:rPr>
        <w:t>Sertificēšana</w:t>
      </w:r>
      <w:bookmarkEnd w:id="11"/>
      <w:bookmarkEnd w:id="12"/>
    </w:p>
    <w:p w:rsidR="00747919" w:rsidRPr="006006BD" w:rsidRDefault="00747919" w:rsidP="00747919">
      <w:pPr>
        <w:pStyle w:val="BodyText3"/>
        <w:spacing w:after="0" w:line="240" w:lineRule="auto"/>
        <w:ind w:firstLine="720"/>
        <w:jc w:val="both"/>
        <w:rPr>
          <w:rFonts w:cstheme="minorHAnsi"/>
          <w:color w:val="auto"/>
          <w:sz w:val="22"/>
          <w:lang w:val="lv-LV"/>
        </w:rPr>
      </w:pPr>
      <w:r w:rsidRPr="006006BD">
        <w:rPr>
          <w:rFonts w:cstheme="minorHAnsi"/>
          <w:color w:val="auto"/>
          <w:sz w:val="22"/>
          <w:lang w:val="lv-LV"/>
        </w:rPr>
        <w:t xml:space="preserve">Preventīvā uzraudzība ietver sertificēšanas procedūras. Sertificēšanas procesā pieteikuma iesniedzējam jāpierāda drošība un jādefinē procedūras. 2018.gadā  tika uzsākta būvatļauju izsniegšana Rail Baltica būvniecībai, taču mazāk kā tika plānots, kas saistāms ar zemju atsavināšanas problēmām. </w:t>
      </w:r>
    </w:p>
    <w:p w:rsidR="00747919" w:rsidRPr="006006BD" w:rsidRDefault="00747919" w:rsidP="00747919">
      <w:pPr>
        <w:spacing w:after="0" w:line="240" w:lineRule="auto"/>
        <w:ind w:firstLine="720"/>
        <w:jc w:val="right"/>
        <w:rPr>
          <w:rFonts w:cstheme="minorHAnsi"/>
          <w:b/>
          <w:color w:val="auto"/>
          <w:szCs w:val="22"/>
          <w:lang w:val="lv-LV"/>
        </w:rPr>
      </w:pPr>
      <w:r w:rsidRPr="006006BD">
        <w:rPr>
          <w:rFonts w:cstheme="minorHAnsi"/>
          <w:color w:val="auto"/>
          <w:sz w:val="22"/>
          <w:szCs w:val="22"/>
          <w:lang w:val="lv-LV"/>
        </w:rPr>
        <w:t xml:space="preserve"> 3</w:t>
      </w:r>
      <w:r w:rsidRPr="006006BD">
        <w:rPr>
          <w:rFonts w:cstheme="minorHAnsi"/>
          <w:b/>
          <w:color w:val="auto"/>
          <w:szCs w:val="22"/>
          <w:lang w:val="lv-LV"/>
        </w:rPr>
        <w:t>.tabula</w:t>
      </w:r>
      <w:r w:rsidR="00933C5C">
        <w:rPr>
          <w:rFonts w:cstheme="minorHAnsi"/>
          <w:b/>
          <w:color w:val="auto"/>
          <w:szCs w:val="22"/>
          <w:lang w:val="lv-LV"/>
        </w:rPr>
        <w:t>.</w:t>
      </w:r>
      <w:r w:rsidRPr="006006BD">
        <w:rPr>
          <w:rFonts w:cstheme="minorHAnsi"/>
          <w:b/>
          <w:color w:val="auto"/>
          <w:szCs w:val="22"/>
          <w:lang w:val="lv-LV"/>
        </w:rPr>
        <w:t xml:space="preserve"> Rezultatīvo radītāju novērtējums</w:t>
      </w:r>
    </w:p>
    <w:p w:rsidR="00BE233F" w:rsidRPr="006006BD" w:rsidRDefault="00BE233F" w:rsidP="00747919">
      <w:pPr>
        <w:spacing w:after="0" w:line="240" w:lineRule="auto"/>
        <w:ind w:firstLine="720"/>
        <w:jc w:val="right"/>
        <w:rPr>
          <w:rFonts w:cstheme="minorHAnsi"/>
          <w:b/>
          <w:color w:val="auto"/>
          <w:szCs w:val="22"/>
          <w:lang w:val="lv-LV"/>
        </w:rPr>
      </w:pPr>
    </w:p>
    <w:tbl>
      <w:tblPr>
        <w:tblW w:w="9923"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544"/>
        <w:gridCol w:w="2410"/>
        <w:gridCol w:w="1417"/>
        <w:gridCol w:w="1276"/>
        <w:gridCol w:w="1276"/>
      </w:tblGrid>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Darbības rezultāts</w:t>
            </w:r>
          </w:p>
        </w:tc>
        <w:tc>
          <w:tcPr>
            <w:tcW w:w="2410"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Rezultatīvais rādītājs</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276" w:type="dxa"/>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BE233F" w:rsidRPr="006006BD" w:rsidRDefault="00BE233F" w:rsidP="00BE233F">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Teorētisko eksāmenu nodrošināšana komercsabiedrību pārstāvjiem</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Eksamināciju skaits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199</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156</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130</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Drošības sertifikātu izsniegšana</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Izsniegto sertifikātu skaits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333</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700</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400</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Drošības apliecību izsniegšana</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Izsniegto apliecību skaits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237</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200</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100</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Būvatļauju izsniegšana</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Pieņemti lēmumi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136</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87</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50</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Būvatļaujā iekļauto nosacījumu izpildes izskatīšana</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Pieņemti lēmumi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280</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48</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55</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 xml:space="preserve">Nosacījumu par būvdarbiem izskatīšana </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Pieņemti lēmumi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260</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90</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55</w:t>
            </w:r>
          </w:p>
        </w:tc>
      </w:tr>
      <w:tr w:rsidR="00BE233F" w:rsidRPr="006006BD" w:rsidTr="00BE233F">
        <w:tc>
          <w:tcPr>
            <w:tcW w:w="3544"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Mašīnistu, mašīnistu palīgu un mašīnistu instruktoru eksaminācijas nodrošināšana</w:t>
            </w:r>
          </w:p>
        </w:tc>
        <w:tc>
          <w:tcPr>
            <w:tcW w:w="2410" w:type="dxa"/>
            <w:shd w:val="clear" w:color="auto" w:fill="auto"/>
            <w:vAlign w:val="center"/>
          </w:tcPr>
          <w:p w:rsidR="00BE233F" w:rsidRPr="006006BD" w:rsidRDefault="00BE233F" w:rsidP="00BE233F">
            <w:pPr>
              <w:pStyle w:val="NormalWeb"/>
              <w:spacing w:before="0" w:beforeAutospacing="0" w:after="0" w:afterAutospacing="0"/>
              <w:jc w:val="left"/>
              <w:rPr>
                <w:rFonts w:asciiTheme="minorHAnsi" w:hAnsiTheme="minorHAnsi" w:cstheme="minorHAnsi"/>
                <w:sz w:val="22"/>
                <w:szCs w:val="22"/>
                <w:lang w:val="lv-LV"/>
              </w:rPr>
            </w:pPr>
            <w:r w:rsidRPr="006006BD">
              <w:rPr>
                <w:rFonts w:asciiTheme="minorHAnsi" w:hAnsiTheme="minorHAnsi" w:cstheme="minorHAnsi"/>
                <w:sz w:val="22"/>
                <w:szCs w:val="22"/>
                <w:lang w:val="lv-LV"/>
              </w:rPr>
              <w:t>Eksamināciju skaits gadā</w:t>
            </w:r>
          </w:p>
        </w:tc>
        <w:tc>
          <w:tcPr>
            <w:tcW w:w="1417"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111</w:t>
            </w:r>
          </w:p>
        </w:tc>
        <w:tc>
          <w:tcPr>
            <w:tcW w:w="1276" w:type="dxa"/>
            <w:shd w:val="clear" w:color="auto" w:fill="auto"/>
            <w:vAlign w:val="center"/>
          </w:tcPr>
          <w:p w:rsidR="00BE233F" w:rsidRPr="006006BD" w:rsidRDefault="00BE233F"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75</w:t>
            </w:r>
          </w:p>
        </w:tc>
        <w:tc>
          <w:tcPr>
            <w:tcW w:w="1276" w:type="dxa"/>
            <w:vAlign w:val="center"/>
          </w:tcPr>
          <w:p w:rsidR="00BE233F" w:rsidRPr="006006BD" w:rsidRDefault="00F16C4A" w:rsidP="00BE233F">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56</w:t>
            </w:r>
          </w:p>
        </w:tc>
      </w:tr>
    </w:tbl>
    <w:p w:rsidR="00747919" w:rsidRPr="006006BD" w:rsidRDefault="00747919" w:rsidP="00747919">
      <w:pPr>
        <w:pStyle w:val="BodyText"/>
        <w:tabs>
          <w:tab w:val="num" w:pos="1418"/>
        </w:tabs>
        <w:ind w:firstLine="709"/>
        <w:rPr>
          <w:rFonts w:asciiTheme="minorHAnsi" w:hAnsiTheme="minorHAnsi" w:cstheme="minorHAnsi"/>
          <w:b/>
          <w:i/>
          <w:sz w:val="22"/>
          <w:szCs w:val="22"/>
        </w:rPr>
      </w:pPr>
    </w:p>
    <w:p w:rsidR="00747919" w:rsidRPr="006006BD" w:rsidRDefault="00747919" w:rsidP="00747919">
      <w:pPr>
        <w:pStyle w:val="Heading1"/>
        <w:pBdr>
          <w:bottom w:val="single" w:sz="8" w:space="0" w:color="auto"/>
        </w:pBdr>
        <w:rPr>
          <w:rFonts w:asciiTheme="minorHAnsi" w:hAnsiTheme="minorHAnsi" w:cstheme="minorHAnsi"/>
          <w:b/>
          <w:color w:val="auto"/>
          <w:sz w:val="24"/>
          <w:lang w:val="lv-LV"/>
        </w:rPr>
      </w:pPr>
      <w:bookmarkStart w:id="13" w:name="_Toc43198267"/>
      <w:bookmarkStart w:id="14" w:name="_Toc51146300"/>
      <w:r w:rsidRPr="006006BD">
        <w:rPr>
          <w:rFonts w:asciiTheme="minorHAnsi" w:hAnsiTheme="minorHAnsi" w:cstheme="minorHAnsi"/>
          <w:b/>
          <w:color w:val="auto"/>
          <w:sz w:val="24"/>
          <w:lang w:val="lv-LV"/>
        </w:rPr>
        <w:t>Ceturtā dzelzceļa pakotne</w:t>
      </w:r>
      <w:bookmarkEnd w:id="13"/>
      <w:bookmarkEnd w:id="14"/>
    </w:p>
    <w:p w:rsidR="00747919" w:rsidRPr="006006BD" w:rsidRDefault="00747919" w:rsidP="00747919">
      <w:pPr>
        <w:pStyle w:val="BodyText"/>
        <w:tabs>
          <w:tab w:val="num" w:pos="709"/>
        </w:tabs>
        <w:ind w:firstLine="709"/>
        <w:jc w:val="both"/>
        <w:rPr>
          <w:rFonts w:asciiTheme="minorHAnsi" w:hAnsiTheme="minorHAnsi" w:cstheme="minorHAnsi"/>
          <w:sz w:val="22"/>
          <w:szCs w:val="22"/>
        </w:rPr>
      </w:pPr>
      <w:r w:rsidRPr="006006BD">
        <w:rPr>
          <w:rFonts w:asciiTheme="minorHAnsi" w:hAnsiTheme="minorHAnsi" w:cstheme="minorHAnsi"/>
          <w:sz w:val="22"/>
          <w:szCs w:val="22"/>
        </w:rPr>
        <w:t>Ceturtā dzelzceļa pakotne ir kopums plānotajām izmaiņām dzelzceļa transporta regulējumā Eiropas Savienībā. Ceturtās dzelzceļa pakotnes mērķis ir novērst šķēršļus vienotas Eiropas dzelzceļa telpas izveidei. Izdotie ES tiesību akti reformē dzelzceļa nozari. Ar tiem tiek īstenotas strukturālas un tehniskas reformas, panākot augstāku drošību, savstarpējo izmantojamību un uzticamību Eiropas dzelzceļu tīklā. Izmaiņas ir vērstas uz to, lai samazinātu dzelzceļa uzņēmumu administratīvās izmaksas un ļautu jauniem pārvadātājiem vieglāk iesaistīties tirgū. Ceturtā dzelzceļa pakotne arī ietver standartus un ritošā sastāva autorizāciju un darbaspēka prasmju kritērijus.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A54ED" w:rsidRPr="00FF6BC6" w:rsidTr="007E4604">
        <w:tc>
          <w:tcPr>
            <w:tcW w:w="576" w:type="dxa"/>
            <w:shd w:val="clear" w:color="auto" w:fill="D9D9D9" w:themeFill="background1" w:themeFillShade="D9"/>
          </w:tcPr>
          <w:p w:rsidR="003A54ED" w:rsidRPr="006006BD" w:rsidRDefault="000145ED" w:rsidP="007E4604">
            <w:pPr>
              <w:spacing w:after="240"/>
              <w:jc w:val="both"/>
              <w:rPr>
                <w:rFonts w:cstheme="minorHAns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D6683D" w:rsidRDefault="00D6683D" w:rsidP="00933C5C">
            <w:pPr>
              <w:spacing w:after="0" w:line="240" w:lineRule="auto"/>
              <w:jc w:val="both"/>
              <w:rPr>
                <w:rFonts w:cstheme="minorHAnsi"/>
                <w:b/>
                <w:color w:val="auto"/>
                <w:sz w:val="22"/>
                <w:szCs w:val="22"/>
                <w:lang w:val="lv-LV"/>
              </w:rPr>
            </w:pPr>
            <w:r>
              <w:rPr>
                <w:rFonts w:cstheme="minorHAnsi"/>
                <w:b/>
                <w:color w:val="auto"/>
                <w:sz w:val="22"/>
                <w:szCs w:val="22"/>
                <w:lang w:val="lv-LV"/>
              </w:rPr>
              <w:t>2019</w:t>
            </w:r>
            <w:r w:rsidR="003A54ED" w:rsidRPr="00B75841">
              <w:rPr>
                <w:rFonts w:cstheme="minorHAnsi"/>
                <w:b/>
                <w:color w:val="auto"/>
                <w:sz w:val="22"/>
                <w:szCs w:val="22"/>
                <w:lang w:val="lv-LV"/>
              </w:rPr>
              <w:t xml:space="preserve">.gadā </w:t>
            </w:r>
            <w:r w:rsidR="00933C5C" w:rsidRPr="00B75841">
              <w:rPr>
                <w:rFonts w:cstheme="minorHAnsi"/>
                <w:b/>
                <w:color w:val="auto"/>
                <w:sz w:val="22"/>
                <w:szCs w:val="22"/>
                <w:lang w:val="lv-LV"/>
              </w:rPr>
              <w:t>VDzTI sagatavoja priekšlikumus g</w:t>
            </w:r>
            <w:r w:rsidR="003A54ED" w:rsidRPr="00B75841">
              <w:rPr>
                <w:rFonts w:cstheme="minorHAnsi"/>
                <w:b/>
                <w:color w:val="auto"/>
                <w:sz w:val="22"/>
                <w:szCs w:val="22"/>
                <w:lang w:val="lv-LV"/>
              </w:rPr>
              <w:t>rozījumi</w:t>
            </w:r>
            <w:r w:rsidR="00933C5C" w:rsidRPr="00B75841">
              <w:rPr>
                <w:rFonts w:cstheme="minorHAnsi"/>
                <w:b/>
                <w:color w:val="auto"/>
                <w:sz w:val="22"/>
                <w:szCs w:val="22"/>
                <w:lang w:val="lv-LV"/>
              </w:rPr>
              <w:t>em</w:t>
            </w:r>
            <w:r w:rsidR="003A54ED" w:rsidRPr="00B75841">
              <w:rPr>
                <w:rFonts w:cstheme="minorHAnsi"/>
                <w:b/>
                <w:color w:val="auto"/>
                <w:sz w:val="22"/>
                <w:szCs w:val="22"/>
                <w:lang w:val="lv-LV"/>
              </w:rPr>
              <w:t xml:space="preserve"> Dzelzceļa likumā, lai pārņemtu t.s. Ceturtās dzelzceļa pakotnes tehniskajā pīlārā iekļautos tiesību aktus, kas skar drošības un savstarpējās izmantojamības jautājumus,</w:t>
            </w:r>
            <w:r>
              <w:rPr>
                <w:rFonts w:cstheme="minorHAnsi"/>
                <w:b/>
                <w:color w:val="auto"/>
                <w:sz w:val="22"/>
                <w:szCs w:val="22"/>
                <w:lang w:val="lv-LV"/>
              </w:rPr>
              <w:t xml:space="preserve"> kā arī VDzTI darbību. </w:t>
            </w:r>
          </w:p>
          <w:p w:rsidR="003A54ED" w:rsidRPr="00B75841" w:rsidRDefault="00D6683D" w:rsidP="00D6683D">
            <w:pPr>
              <w:spacing w:after="0" w:line="240" w:lineRule="auto"/>
              <w:jc w:val="both"/>
              <w:rPr>
                <w:rFonts w:cstheme="minorHAnsi"/>
                <w:b/>
                <w:iCs/>
                <w:color w:val="auto"/>
                <w:sz w:val="22"/>
                <w:szCs w:val="22"/>
                <w:lang w:val="lv-LV"/>
              </w:rPr>
            </w:pPr>
            <w:r>
              <w:rPr>
                <w:rFonts w:cstheme="minorHAnsi"/>
                <w:b/>
                <w:color w:val="auto"/>
                <w:sz w:val="22"/>
                <w:szCs w:val="22"/>
                <w:lang w:val="lv-LV"/>
              </w:rPr>
              <w:t xml:space="preserve">2020.gada 16.jūnijā </w:t>
            </w:r>
            <w:r w:rsidR="003A54ED" w:rsidRPr="00B75841">
              <w:rPr>
                <w:rFonts w:cstheme="minorHAnsi"/>
                <w:b/>
                <w:color w:val="auto"/>
                <w:sz w:val="22"/>
                <w:szCs w:val="22"/>
                <w:lang w:val="lv-LV"/>
              </w:rPr>
              <w:t xml:space="preserve">grozījumi Dzelzceļa likumā </w:t>
            </w:r>
            <w:r>
              <w:rPr>
                <w:rFonts w:cstheme="minorHAnsi"/>
                <w:b/>
                <w:color w:val="auto"/>
                <w:sz w:val="22"/>
                <w:szCs w:val="22"/>
                <w:lang w:val="lv-LV"/>
              </w:rPr>
              <w:t>un likuma deleģējuma izrietošie Ministru kabineta noteikumi stājās spēkā, nodrošinot Ceturtās dzelzceļa pakotnes tehniskā pīlāra tiesību aktu prasību pilnīgu pārņemšanu Latvijas likumdošanā.</w:t>
            </w:r>
            <w:r w:rsidR="003A54ED" w:rsidRPr="00B75841">
              <w:rPr>
                <w:rFonts w:cstheme="minorHAnsi"/>
                <w:b/>
                <w:color w:val="auto"/>
                <w:sz w:val="22"/>
                <w:szCs w:val="22"/>
                <w:lang w:val="lv-LV"/>
              </w:rPr>
              <w:t xml:space="preserve"> </w:t>
            </w:r>
          </w:p>
        </w:tc>
      </w:tr>
    </w:tbl>
    <w:p w:rsidR="00BB19FC" w:rsidRDefault="00BB19FC" w:rsidP="00747919">
      <w:pPr>
        <w:spacing w:after="0" w:line="240" w:lineRule="auto"/>
        <w:ind w:firstLine="720"/>
        <w:jc w:val="right"/>
        <w:rPr>
          <w:rFonts w:cstheme="minorHAnsi"/>
          <w:b/>
          <w:color w:val="auto"/>
          <w:szCs w:val="22"/>
          <w:lang w:val="lv-LV"/>
        </w:rPr>
      </w:pPr>
    </w:p>
    <w:p w:rsidR="00E86F3C" w:rsidRDefault="00E86F3C" w:rsidP="00747919">
      <w:pPr>
        <w:spacing w:after="0" w:line="240" w:lineRule="auto"/>
        <w:ind w:firstLine="720"/>
        <w:jc w:val="right"/>
        <w:rPr>
          <w:rFonts w:cstheme="minorHAnsi"/>
          <w:b/>
          <w:color w:val="auto"/>
          <w:szCs w:val="22"/>
          <w:lang w:val="lv-LV"/>
        </w:rPr>
      </w:pPr>
    </w:p>
    <w:p w:rsidR="00E86F3C" w:rsidRDefault="00E86F3C" w:rsidP="00747919">
      <w:pPr>
        <w:spacing w:after="0" w:line="240" w:lineRule="auto"/>
        <w:ind w:firstLine="720"/>
        <w:jc w:val="right"/>
        <w:rPr>
          <w:rFonts w:cstheme="minorHAnsi"/>
          <w:b/>
          <w:color w:val="auto"/>
          <w:szCs w:val="22"/>
          <w:lang w:val="lv-LV"/>
        </w:rPr>
      </w:pPr>
    </w:p>
    <w:p w:rsidR="00E86F3C" w:rsidRDefault="00E86F3C" w:rsidP="00747919">
      <w:pPr>
        <w:spacing w:after="0" w:line="240" w:lineRule="auto"/>
        <w:ind w:firstLine="720"/>
        <w:jc w:val="right"/>
        <w:rPr>
          <w:rFonts w:cstheme="minorHAnsi"/>
          <w:b/>
          <w:color w:val="auto"/>
          <w:szCs w:val="22"/>
          <w:lang w:val="lv-LV"/>
        </w:rPr>
      </w:pPr>
    </w:p>
    <w:p w:rsidR="00806C8F" w:rsidRDefault="00806C8F" w:rsidP="00747919">
      <w:pPr>
        <w:spacing w:after="0" w:line="240" w:lineRule="auto"/>
        <w:ind w:firstLine="720"/>
        <w:jc w:val="right"/>
        <w:rPr>
          <w:rFonts w:cstheme="minorHAnsi"/>
          <w:b/>
          <w:color w:val="auto"/>
          <w:szCs w:val="22"/>
          <w:lang w:val="lv-LV"/>
        </w:rPr>
      </w:pPr>
    </w:p>
    <w:p w:rsidR="00806C8F" w:rsidRDefault="00806C8F" w:rsidP="00747919">
      <w:pPr>
        <w:spacing w:after="0" w:line="240" w:lineRule="auto"/>
        <w:ind w:firstLine="720"/>
        <w:jc w:val="right"/>
        <w:rPr>
          <w:rFonts w:cstheme="minorHAnsi"/>
          <w:b/>
          <w:color w:val="auto"/>
          <w:szCs w:val="22"/>
          <w:lang w:val="lv-LV"/>
        </w:rPr>
      </w:pPr>
    </w:p>
    <w:p w:rsidR="00747919" w:rsidRPr="006006BD" w:rsidRDefault="00747919" w:rsidP="00747919">
      <w:pPr>
        <w:spacing w:after="0" w:line="240" w:lineRule="auto"/>
        <w:ind w:firstLine="720"/>
        <w:jc w:val="right"/>
        <w:rPr>
          <w:rFonts w:cstheme="minorHAnsi"/>
          <w:b/>
          <w:color w:val="auto"/>
          <w:szCs w:val="22"/>
          <w:lang w:val="lv-LV"/>
        </w:rPr>
      </w:pPr>
      <w:r w:rsidRPr="006006BD">
        <w:rPr>
          <w:rFonts w:cstheme="minorHAnsi"/>
          <w:b/>
          <w:color w:val="auto"/>
          <w:szCs w:val="22"/>
          <w:lang w:val="lv-LV"/>
        </w:rPr>
        <w:lastRenderedPageBreak/>
        <w:t>4.tabula</w:t>
      </w:r>
      <w:r w:rsidR="00933C5C">
        <w:rPr>
          <w:rFonts w:cstheme="minorHAnsi"/>
          <w:b/>
          <w:color w:val="auto"/>
          <w:szCs w:val="22"/>
          <w:lang w:val="lv-LV"/>
        </w:rPr>
        <w:t>.</w:t>
      </w:r>
      <w:r w:rsidRPr="006006BD">
        <w:rPr>
          <w:rFonts w:cstheme="minorHAnsi"/>
          <w:b/>
          <w:color w:val="auto"/>
          <w:szCs w:val="22"/>
          <w:lang w:val="lv-LV"/>
        </w:rPr>
        <w:t xml:space="preserve"> Rezultatīvo radītāju novērtējums</w:t>
      </w:r>
    </w:p>
    <w:p w:rsidR="003A54ED" w:rsidRPr="006006BD" w:rsidRDefault="003A54ED" w:rsidP="00747919">
      <w:pPr>
        <w:spacing w:after="0" w:line="240" w:lineRule="auto"/>
        <w:ind w:firstLine="720"/>
        <w:jc w:val="right"/>
        <w:rPr>
          <w:rFonts w:cstheme="minorHAnsi"/>
          <w:b/>
          <w:color w:val="auto"/>
          <w:szCs w:val="22"/>
          <w:lang w:val="lv-LV"/>
        </w:rPr>
      </w:pPr>
    </w:p>
    <w:tbl>
      <w:tblPr>
        <w:tblW w:w="9923" w:type="dxa"/>
        <w:tblBorders>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3261"/>
        <w:gridCol w:w="2126"/>
        <w:gridCol w:w="1559"/>
        <w:gridCol w:w="1559"/>
        <w:gridCol w:w="1418"/>
      </w:tblGrid>
      <w:tr w:rsidR="003A54ED" w:rsidRPr="006006BD" w:rsidTr="003A54ED">
        <w:tc>
          <w:tcPr>
            <w:tcW w:w="3261" w:type="dxa"/>
            <w:shd w:val="clear" w:color="auto" w:fill="auto"/>
            <w:vAlign w:val="center"/>
          </w:tcPr>
          <w:p w:rsidR="003A54ED" w:rsidRPr="006006BD" w:rsidRDefault="003A54ED"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sz w:val="22"/>
                <w:szCs w:val="22"/>
                <w:lang w:val="lv-LV"/>
              </w:rPr>
              <w:tab/>
              <w:t xml:space="preserve"> </w:t>
            </w:r>
            <w:r w:rsidRPr="006006BD">
              <w:rPr>
                <w:rFonts w:asciiTheme="minorHAnsi" w:hAnsiTheme="minorHAnsi" w:cstheme="minorHAnsi"/>
                <w:b/>
                <w:sz w:val="22"/>
                <w:szCs w:val="22"/>
                <w:lang w:val="lv-LV"/>
              </w:rPr>
              <w:t>Darbības rezultāts</w:t>
            </w:r>
          </w:p>
        </w:tc>
        <w:tc>
          <w:tcPr>
            <w:tcW w:w="2126" w:type="dxa"/>
            <w:shd w:val="clear" w:color="auto" w:fill="auto"/>
            <w:vAlign w:val="center"/>
          </w:tcPr>
          <w:p w:rsidR="003A54ED" w:rsidRPr="006006BD" w:rsidRDefault="003A54ED"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Rezultatīvais rādītājs</w:t>
            </w:r>
          </w:p>
        </w:tc>
        <w:tc>
          <w:tcPr>
            <w:tcW w:w="1559" w:type="dxa"/>
            <w:shd w:val="clear" w:color="auto" w:fill="auto"/>
          </w:tcPr>
          <w:p w:rsidR="003A54ED" w:rsidRPr="006006BD" w:rsidRDefault="003A54ED" w:rsidP="007E4604">
            <w:pPr>
              <w:pStyle w:val="NormalWeb"/>
              <w:spacing w:before="0" w:beforeAutospacing="0" w:after="0" w:afterAutospacing="0"/>
              <w:ind w:left="493" w:hanging="493"/>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559" w:type="dxa"/>
          </w:tcPr>
          <w:p w:rsidR="003A54ED" w:rsidRPr="006006BD" w:rsidRDefault="003A54ED" w:rsidP="007E4604">
            <w:pPr>
              <w:pStyle w:val="NormalWeb"/>
              <w:spacing w:before="0" w:beforeAutospacing="0" w:after="0" w:afterAutospacing="0"/>
              <w:ind w:left="493" w:hanging="493"/>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418" w:type="dxa"/>
          </w:tcPr>
          <w:p w:rsidR="003A54ED" w:rsidRPr="006006BD" w:rsidRDefault="003A54ED" w:rsidP="007E4604">
            <w:pPr>
              <w:pStyle w:val="NormalWeb"/>
              <w:spacing w:before="0" w:beforeAutospacing="0" w:after="0" w:afterAutospacing="0"/>
              <w:ind w:left="493" w:hanging="493"/>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3A54ED" w:rsidRPr="006006BD" w:rsidTr="003A54ED">
        <w:tc>
          <w:tcPr>
            <w:tcW w:w="3261" w:type="dxa"/>
            <w:shd w:val="clear" w:color="auto" w:fill="auto"/>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szCs w:val="22"/>
                <w:lang w:val="lv-LV"/>
              </w:rPr>
              <w:t>Ceturtās dzelzceļa pakotnes</w:t>
            </w:r>
            <w:r w:rsidRPr="006006BD">
              <w:rPr>
                <w:rFonts w:asciiTheme="minorHAnsi" w:hAnsiTheme="minorHAnsi" w:cstheme="minorHAnsi"/>
                <w:sz w:val="22"/>
                <w:lang w:val="lv-LV"/>
              </w:rPr>
              <w:t xml:space="preserve"> transponēšana </w:t>
            </w:r>
          </w:p>
        </w:tc>
        <w:tc>
          <w:tcPr>
            <w:tcW w:w="2126" w:type="dxa"/>
            <w:shd w:val="clear" w:color="auto" w:fill="auto"/>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Ieviestas ES tiesību aktu prasības</w:t>
            </w:r>
          </w:p>
        </w:tc>
        <w:tc>
          <w:tcPr>
            <w:tcW w:w="1559" w:type="dxa"/>
            <w:shd w:val="clear" w:color="auto" w:fill="auto"/>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Darbs pie pārņemšanas</w:t>
            </w:r>
          </w:p>
        </w:tc>
        <w:tc>
          <w:tcPr>
            <w:tcW w:w="1559" w:type="dxa"/>
            <w:vAlign w:val="center"/>
          </w:tcPr>
          <w:p w:rsidR="003A54ED" w:rsidRPr="006006BD" w:rsidRDefault="003A54ED" w:rsidP="003A54ED">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 xml:space="preserve">Projekts “Grozījumi Dzelzceļa likumā” </w:t>
            </w:r>
          </w:p>
        </w:tc>
        <w:tc>
          <w:tcPr>
            <w:tcW w:w="1418" w:type="dxa"/>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Projekts “Grozījumi Dzelzceļa likumā”</w:t>
            </w:r>
          </w:p>
        </w:tc>
      </w:tr>
      <w:tr w:rsidR="003A54ED" w:rsidRPr="006006BD" w:rsidTr="000020F8">
        <w:tc>
          <w:tcPr>
            <w:tcW w:w="3261" w:type="dxa"/>
            <w:shd w:val="clear" w:color="auto" w:fill="auto"/>
            <w:vAlign w:val="center"/>
          </w:tcPr>
          <w:p w:rsidR="003A54ED" w:rsidRPr="006006BD" w:rsidRDefault="003A54ED" w:rsidP="000020F8">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ES tiesību aktu projektu izstrāde</w:t>
            </w:r>
          </w:p>
        </w:tc>
        <w:tc>
          <w:tcPr>
            <w:tcW w:w="2126" w:type="dxa"/>
            <w:shd w:val="clear" w:color="auto" w:fill="auto"/>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Dalība ES institūciju darba grupās (sanāksmju skaits)</w:t>
            </w:r>
          </w:p>
        </w:tc>
        <w:tc>
          <w:tcPr>
            <w:tcW w:w="1559" w:type="dxa"/>
            <w:shd w:val="clear" w:color="auto" w:fill="auto"/>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Dalība 42 darba grupās</w:t>
            </w:r>
          </w:p>
        </w:tc>
        <w:tc>
          <w:tcPr>
            <w:tcW w:w="1559" w:type="dxa"/>
            <w:vAlign w:val="center"/>
          </w:tcPr>
          <w:p w:rsidR="003A54ED" w:rsidRPr="006006BD" w:rsidRDefault="003A54ED"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Dalība 35 darba grupās</w:t>
            </w:r>
          </w:p>
        </w:tc>
        <w:tc>
          <w:tcPr>
            <w:tcW w:w="1418" w:type="dxa"/>
            <w:vAlign w:val="center"/>
          </w:tcPr>
          <w:p w:rsidR="003A54ED" w:rsidRPr="006006BD" w:rsidRDefault="000020F8" w:rsidP="000020F8">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Dalība 35 darba grupās</w:t>
            </w:r>
          </w:p>
        </w:tc>
      </w:tr>
    </w:tbl>
    <w:p w:rsidR="00747919" w:rsidRPr="006006BD" w:rsidRDefault="00747919" w:rsidP="00747919">
      <w:pPr>
        <w:pStyle w:val="ListParagraph"/>
        <w:tabs>
          <w:tab w:val="left" w:pos="-720"/>
          <w:tab w:val="left" w:pos="142"/>
          <w:tab w:val="left" w:pos="567"/>
          <w:tab w:val="left" w:pos="1276"/>
          <w:tab w:val="left" w:pos="1560"/>
          <w:tab w:val="left" w:pos="2880"/>
          <w:tab w:val="left" w:pos="3600"/>
          <w:tab w:val="left" w:pos="4320"/>
        </w:tabs>
        <w:autoSpaceDE w:val="0"/>
        <w:autoSpaceDN w:val="0"/>
        <w:adjustRightInd w:val="0"/>
        <w:spacing w:after="120"/>
        <w:ind w:left="0" w:firstLine="567"/>
        <w:jc w:val="both"/>
        <w:rPr>
          <w:rFonts w:asciiTheme="minorHAnsi" w:hAnsiTheme="minorHAnsi" w:cstheme="minorHAnsi"/>
          <w:sz w:val="22"/>
          <w:szCs w:val="22"/>
        </w:rPr>
      </w:pPr>
    </w:p>
    <w:p w:rsidR="00747919" w:rsidRPr="006006BD" w:rsidRDefault="00747919" w:rsidP="00747919">
      <w:pPr>
        <w:pStyle w:val="Heading1"/>
        <w:pBdr>
          <w:bottom w:val="single" w:sz="8" w:space="0" w:color="auto"/>
        </w:pBdr>
        <w:rPr>
          <w:rFonts w:asciiTheme="minorHAnsi" w:hAnsiTheme="minorHAnsi" w:cstheme="minorHAnsi"/>
          <w:b/>
          <w:color w:val="auto"/>
          <w:sz w:val="24"/>
          <w:lang w:val="lv-LV"/>
        </w:rPr>
      </w:pPr>
      <w:bookmarkStart w:id="15" w:name="_Toc43198268"/>
      <w:bookmarkStart w:id="16" w:name="_Toc51146301"/>
      <w:r w:rsidRPr="006006BD">
        <w:rPr>
          <w:rFonts w:asciiTheme="minorHAnsi" w:hAnsiTheme="minorHAnsi" w:cstheme="minorHAnsi"/>
          <w:b/>
          <w:color w:val="auto"/>
          <w:sz w:val="24"/>
          <w:lang w:val="lv-LV"/>
        </w:rPr>
        <w:t>VDzTI darba kapacitāte, pārvaldība un resursi</w:t>
      </w:r>
      <w:bookmarkEnd w:id="15"/>
      <w:bookmarkEnd w:id="16"/>
    </w:p>
    <w:p w:rsidR="007730BC" w:rsidRPr="006006BD" w:rsidRDefault="00747919" w:rsidP="007730BC">
      <w:pPr>
        <w:pStyle w:val="BodyText"/>
        <w:tabs>
          <w:tab w:val="num" w:pos="709"/>
        </w:tabs>
        <w:ind w:firstLine="709"/>
        <w:jc w:val="both"/>
        <w:rPr>
          <w:rFonts w:asciiTheme="minorHAnsi" w:hAnsiTheme="minorHAnsi" w:cstheme="minorHAnsi"/>
          <w:sz w:val="22"/>
          <w:szCs w:val="22"/>
        </w:rPr>
      </w:pPr>
      <w:r w:rsidRPr="006006BD">
        <w:rPr>
          <w:rFonts w:asciiTheme="minorHAnsi" w:hAnsiTheme="minorHAnsi" w:cstheme="minorHAnsi"/>
          <w:sz w:val="22"/>
          <w:szCs w:val="22"/>
        </w:rPr>
        <w:t>Lai nodrošinātu efektīvu iestādes darbību, VDzTI pa</w:t>
      </w:r>
      <w:r w:rsidR="00933C5C">
        <w:rPr>
          <w:rFonts w:asciiTheme="minorHAnsi" w:hAnsiTheme="minorHAnsi" w:cstheme="minorHAnsi"/>
          <w:sz w:val="22"/>
          <w:szCs w:val="22"/>
        </w:rPr>
        <w:t>stāvīgi</w:t>
      </w:r>
      <w:r w:rsidRPr="006006BD">
        <w:rPr>
          <w:rFonts w:asciiTheme="minorHAnsi" w:hAnsiTheme="minorHAnsi" w:cstheme="minorHAnsi"/>
          <w:sz w:val="22"/>
          <w:szCs w:val="22"/>
        </w:rPr>
        <w:t xml:space="preserve"> veic s</w:t>
      </w:r>
      <w:r w:rsidR="00933C5C">
        <w:rPr>
          <w:rFonts w:asciiTheme="minorHAnsi" w:hAnsiTheme="minorHAnsi" w:cstheme="minorHAnsi"/>
          <w:sz w:val="22"/>
          <w:szCs w:val="22"/>
        </w:rPr>
        <w:t>avu iekšējo procesu izvērtēšanu,</w:t>
      </w:r>
      <w:r w:rsidRPr="006006BD">
        <w:rPr>
          <w:rFonts w:asciiTheme="minorHAnsi" w:hAnsiTheme="minorHAnsi" w:cstheme="minorHAnsi"/>
          <w:sz w:val="22"/>
          <w:szCs w:val="22"/>
        </w:rPr>
        <w:t xml:space="preserve"> </w:t>
      </w:r>
      <w:r w:rsidR="00933C5C" w:rsidRPr="006006BD">
        <w:rPr>
          <w:rFonts w:asciiTheme="minorHAnsi" w:hAnsiTheme="minorHAnsi" w:cstheme="minorHAnsi"/>
          <w:sz w:val="22"/>
          <w:szCs w:val="22"/>
        </w:rPr>
        <w:t xml:space="preserve">pilnveidojot </w:t>
      </w:r>
      <w:r w:rsidR="00933C5C">
        <w:rPr>
          <w:rFonts w:asciiTheme="minorHAnsi" w:hAnsiTheme="minorHAnsi" w:cstheme="minorHAnsi"/>
          <w:sz w:val="22"/>
          <w:szCs w:val="22"/>
        </w:rPr>
        <w:t>tos</w:t>
      </w:r>
      <w:r w:rsidR="00933C5C" w:rsidRPr="006006BD">
        <w:rPr>
          <w:rFonts w:asciiTheme="minorHAnsi" w:hAnsiTheme="minorHAnsi" w:cstheme="minorHAnsi"/>
          <w:sz w:val="22"/>
          <w:szCs w:val="22"/>
        </w:rPr>
        <w:t xml:space="preserve"> un uzlabojot darba efektivitāti</w:t>
      </w:r>
      <w:r w:rsidR="00933C5C">
        <w:rPr>
          <w:rFonts w:asciiTheme="minorHAnsi" w:hAnsiTheme="minorHAnsi" w:cstheme="minorHAnsi"/>
          <w:sz w:val="22"/>
          <w:szCs w:val="22"/>
        </w:rPr>
        <w:t xml:space="preserve">. </w:t>
      </w:r>
      <w:r w:rsidR="007730BC" w:rsidRPr="006006BD">
        <w:rPr>
          <w:rFonts w:asciiTheme="minorHAnsi" w:hAnsiTheme="minorHAnsi" w:cstheme="minorHAnsi"/>
          <w:sz w:val="22"/>
          <w:szCs w:val="22"/>
        </w:rPr>
        <w:t xml:space="preserve"> VDzTI pēta un ievieš inovatīvus veidus, kā apkopot un analizēt plašākus datu avotus, un meklē risinājumus kā uzlabot šo datu izmantošanu. VDzTI ir </w:t>
      </w:r>
      <w:r w:rsidR="00D6683D">
        <w:rPr>
          <w:rFonts w:asciiTheme="minorHAnsi" w:hAnsiTheme="minorHAnsi" w:cstheme="minorHAnsi"/>
          <w:sz w:val="22"/>
          <w:szCs w:val="22"/>
        </w:rPr>
        <w:t>n</w:t>
      </w:r>
      <w:r w:rsidR="007730BC" w:rsidRPr="006006BD">
        <w:rPr>
          <w:rFonts w:asciiTheme="minorHAnsi" w:hAnsiTheme="minorHAnsi" w:cstheme="minorHAnsi"/>
          <w:sz w:val="22"/>
          <w:szCs w:val="22"/>
        </w:rPr>
        <w:t xml:space="preserve">odrošina dzelzceļa sistēmas dalībniekiem paredzēto IKT darbības nepārtrauktību un atbalstu šo sistēmu lietošanā. </w:t>
      </w:r>
    </w:p>
    <w:p w:rsidR="007730BC" w:rsidRPr="006006BD" w:rsidRDefault="007730BC" w:rsidP="007730BC">
      <w:pPr>
        <w:spacing w:after="0" w:line="240" w:lineRule="auto"/>
        <w:ind w:firstLine="720"/>
        <w:jc w:val="right"/>
        <w:rPr>
          <w:rFonts w:cstheme="minorHAnsi"/>
          <w:b/>
          <w:color w:val="auto"/>
          <w:szCs w:val="22"/>
          <w:lang w:val="lv-LV"/>
        </w:rPr>
      </w:pPr>
      <w:r w:rsidRPr="006006BD">
        <w:rPr>
          <w:rFonts w:cstheme="minorHAnsi"/>
          <w:b/>
          <w:color w:val="auto"/>
          <w:szCs w:val="22"/>
          <w:lang w:val="lv-LV"/>
        </w:rPr>
        <w:t>5.tabula</w:t>
      </w:r>
      <w:r w:rsidR="00933C5C">
        <w:rPr>
          <w:rFonts w:cstheme="minorHAnsi"/>
          <w:b/>
          <w:color w:val="auto"/>
          <w:szCs w:val="22"/>
          <w:lang w:val="lv-LV"/>
        </w:rPr>
        <w:t>.</w:t>
      </w:r>
      <w:r w:rsidRPr="006006BD">
        <w:rPr>
          <w:rFonts w:cstheme="minorHAnsi"/>
          <w:b/>
          <w:color w:val="auto"/>
          <w:szCs w:val="22"/>
          <w:lang w:val="lv-LV"/>
        </w:rPr>
        <w:t xml:space="preserve"> Rezultatīvo radītāju novērtējums</w:t>
      </w:r>
    </w:p>
    <w:p w:rsidR="007730BC" w:rsidRPr="006006BD" w:rsidRDefault="007730BC" w:rsidP="007730BC">
      <w:pPr>
        <w:spacing w:after="0" w:line="240" w:lineRule="auto"/>
        <w:ind w:firstLine="720"/>
        <w:jc w:val="right"/>
        <w:rPr>
          <w:rFonts w:cstheme="minorHAnsi"/>
          <w:b/>
          <w:color w:val="auto"/>
          <w:szCs w:val="22"/>
          <w:lang w:val="lv-LV"/>
        </w:rPr>
      </w:pPr>
    </w:p>
    <w:tbl>
      <w:tblPr>
        <w:tblW w:w="9640" w:type="dxa"/>
        <w:tblBorders>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2694"/>
        <w:gridCol w:w="2126"/>
        <w:gridCol w:w="1701"/>
        <w:gridCol w:w="1559"/>
        <w:gridCol w:w="1560"/>
      </w:tblGrid>
      <w:tr w:rsidR="007730BC" w:rsidRPr="006006BD" w:rsidTr="0048339C">
        <w:tc>
          <w:tcPr>
            <w:tcW w:w="2694"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sz w:val="22"/>
                <w:szCs w:val="22"/>
                <w:lang w:val="lv-LV"/>
              </w:rPr>
              <w:tab/>
              <w:t xml:space="preserve"> </w:t>
            </w:r>
            <w:r w:rsidRPr="006006BD">
              <w:rPr>
                <w:rFonts w:asciiTheme="minorHAnsi" w:hAnsiTheme="minorHAnsi" w:cstheme="minorHAnsi"/>
                <w:b/>
                <w:sz w:val="22"/>
                <w:szCs w:val="22"/>
                <w:lang w:val="lv-LV"/>
              </w:rPr>
              <w:t>Darbības rezultāts</w:t>
            </w:r>
          </w:p>
        </w:tc>
        <w:tc>
          <w:tcPr>
            <w:tcW w:w="2126"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Rezultatīvais rādītājs</w:t>
            </w:r>
          </w:p>
        </w:tc>
        <w:tc>
          <w:tcPr>
            <w:tcW w:w="1701"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2017</w:t>
            </w:r>
          </w:p>
        </w:tc>
        <w:tc>
          <w:tcPr>
            <w:tcW w:w="1559"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2018</w:t>
            </w:r>
          </w:p>
        </w:tc>
        <w:tc>
          <w:tcPr>
            <w:tcW w:w="1560"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Sasniegtais %</w:t>
            </w:r>
          </w:p>
          <w:p w:rsidR="007730BC" w:rsidRPr="006006BD" w:rsidRDefault="007730BC" w:rsidP="007E4604">
            <w:pPr>
              <w:pStyle w:val="NormalWeb"/>
              <w:spacing w:before="0" w:beforeAutospacing="0" w:after="0" w:afterAutospacing="0"/>
              <w:jc w:val="center"/>
              <w:rPr>
                <w:rFonts w:asciiTheme="minorHAnsi" w:hAnsiTheme="minorHAnsi" w:cstheme="minorHAnsi"/>
                <w:b/>
                <w:sz w:val="22"/>
                <w:szCs w:val="22"/>
                <w:lang w:val="lv-LV"/>
              </w:rPr>
            </w:pPr>
            <w:r w:rsidRPr="006006BD">
              <w:rPr>
                <w:rFonts w:asciiTheme="minorHAnsi" w:hAnsiTheme="minorHAnsi" w:cstheme="minorHAnsi"/>
                <w:b/>
                <w:sz w:val="22"/>
                <w:szCs w:val="22"/>
                <w:lang w:val="lv-LV"/>
              </w:rPr>
              <w:t>2019</w:t>
            </w:r>
          </w:p>
        </w:tc>
      </w:tr>
      <w:tr w:rsidR="007730BC" w:rsidRPr="006006BD" w:rsidTr="0048339C">
        <w:tc>
          <w:tcPr>
            <w:tcW w:w="2694" w:type="dxa"/>
            <w:shd w:val="clear" w:color="auto" w:fill="auto"/>
            <w:vAlign w:val="center"/>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Elektronisko dokumentu ieviešana</w:t>
            </w:r>
          </w:p>
        </w:tc>
        <w:tc>
          <w:tcPr>
            <w:tcW w:w="2126" w:type="dxa"/>
            <w:shd w:val="clear" w:color="auto" w:fill="auto"/>
            <w:vAlign w:val="center"/>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Elektroniski parakstīti dokumenti (skaits)</w:t>
            </w:r>
          </w:p>
        </w:tc>
        <w:tc>
          <w:tcPr>
            <w:tcW w:w="1701"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104</w:t>
            </w:r>
          </w:p>
        </w:tc>
        <w:tc>
          <w:tcPr>
            <w:tcW w:w="1559"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122</w:t>
            </w:r>
          </w:p>
        </w:tc>
        <w:tc>
          <w:tcPr>
            <w:tcW w:w="1560"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125</w:t>
            </w:r>
          </w:p>
        </w:tc>
      </w:tr>
      <w:tr w:rsidR="007730BC" w:rsidRPr="006006BD" w:rsidTr="0048339C">
        <w:tc>
          <w:tcPr>
            <w:tcW w:w="2694" w:type="dxa"/>
            <w:shd w:val="clear" w:color="auto" w:fill="auto"/>
            <w:vAlign w:val="center"/>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szCs w:val="22"/>
                <w:lang w:val="lv-LV"/>
              </w:rPr>
              <w:t>Paaugstināta personāla kvalifikācija</w:t>
            </w:r>
            <w:r w:rsidRPr="006006BD">
              <w:rPr>
                <w:rFonts w:asciiTheme="minorHAnsi" w:hAnsiTheme="minorHAnsi" w:cstheme="minorHAnsi"/>
                <w:sz w:val="22"/>
                <w:lang w:val="lv-LV"/>
              </w:rPr>
              <w:t xml:space="preserve"> </w:t>
            </w:r>
          </w:p>
        </w:tc>
        <w:tc>
          <w:tcPr>
            <w:tcW w:w="2126" w:type="dxa"/>
            <w:shd w:val="clear" w:color="auto" w:fill="auto"/>
            <w:vAlign w:val="center"/>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Stundu skaits</w:t>
            </w:r>
          </w:p>
        </w:tc>
        <w:tc>
          <w:tcPr>
            <w:tcW w:w="1701"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71</w:t>
            </w:r>
          </w:p>
        </w:tc>
        <w:tc>
          <w:tcPr>
            <w:tcW w:w="1559"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294</w:t>
            </w:r>
          </w:p>
        </w:tc>
        <w:tc>
          <w:tcPr>
            <w:tcW w:w="1560"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186</w:t>
            </w:r>
          </w:p>
        </w:tc>
      </w:tr>
      <w:tr w:rsidR="007730BC" w:rsidRPr="006006BD" w:rsidTr="0048339C">
        <w:tc>
          <w:tcPr>
            <w:tcW w:w="2694" w:type="dxa"/>
            <w:shd w:val="clear" w:color="auto" w:fill="auto"/>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IKT izstrāde un ieviešana</w:t>
            </w:r>
          </w:p>
        </w:tc>
        <w:tc>
          <w:tcPr>
            <w:tcW w:w="2126" w:type="dxa"/>
            <w:shd w:val="clear" w:color="auto" w:fill="auto"/>
            <w:vAlign w:val="center"/>
          </w:tcPr>
          <w:p w:rsidR="007730BC" w:rsidRPr="006006BD" w:rsidRDefault="007730BC" w:rsidP="007E4604">
            <w:pPr>
              <w:pStyle w:val="NormalWeb"/>
              <w:spacing w:before="0" w:beforeAutospacing="0" w:after="0" w:afterAutospacing="0"/>
              <w:jc w:val="left"/>
              <w:rPr>
                <w:rFonts w:asciiTheme="minorHAnsi" w:hAnsiTheme="minorHAnsi" w:cstheme="minorHAnsi"/>
                <w:sz w:val="22"/>
                <w:lang w:val="lv-LV"/>
              </w:rPr>
            </w:pPr>
            <w:r w:rsidRPr="006006BD">
              <w:rPr>
                <w:rFonts w:asciiTheme="minorHAnsi" w:hAnsiTheme="minorHAnsi" w:cstheme="minorHAnsi"/>
                <w:sz w:val="22"/>
                <w:lang w:val="lv-LV"/>
              </w:rPr>
              <w:t>Procesa virzība</w:t>
            </w:r>
          </w:p>
        </w:tc>
        <w:tc>
          <w:tcPr>
            <w:tcW w:w="1701" w:type="dxa"/>
            <w:shd w:val="clear" w:color="auto" w:fill="auto"/>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Specifikācija</w:t>
            </w:r>
          </w:p>
        </w:tc>
        <w:tc>
          <w:tcPr>
            <w:tcW w:w="1559"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Sistēma</w:t>
            </w:r>
          </w:p>
        </w:tc>
        <w:tc>
          <w:tcPr>
            <w:tcW w:w="1560" w:type="dxa"/>
            <w:vAlign w:val="center"/>
          </w:tcPr>
          <w:p w:rsidR="007730BC" w:rsidRPr="006006BD" w:rsidRDefault="007730BC" w:rsidP="007E4604">
            <w:pPr>
              <w:pStyle w:val="NormalWeb"/>
              <w:spacing w:before="0" w:beforeAutospacing="0" w:after="0" w:afterAutospacing="0"/>
              <w:jc w:val="center"/>
              <w:rPr>
                <w:rFonts w:asciiTheme="minorHAnsi" w:hAnsiTheme="minorHAnsi" w:cstheme="minorHAnsi"/>
                <w:sz w:val="22"/>
                <w:szCs w:val="22"/>
                <w:lang w:val="lv-LV"/>
              </w:rPr>
            </w:pPr>
            <w:r w:rsidRPr="006006BD">
              <w:rPr>
                <w:rFonts w:asciiTheme="minorHAnsi" w:hAnsiTheme="minorHAnsi" w:cstheme="minorHAnsi"/>
                <w:sz w:val="22"/>
                <w:szCs w:val="22"/>
                <w:lang w:val="lv-LV"/>
              </w:rPr>
              <w:t>Sistēma</w:t>
            </w:r>
          </w:p>
        </w:tc>
      </w:tr>
    </w:tbl>
    <w:p w:rsidR="00747919" w:rsidRPr="006006BD" w:rsidRDefault="00747919" w:rsidP="00747919">
      <w:pPr>
        <w:pStyle w:val="BodyText"/>
        <w:tabs>
          <w:tab w:val="num" w:pos="709"/>
        </w:tabs>
        <w:ind w:firstLine="709"/>
        <w:jc w:val="both"/>
        <w:rPr>
          <w:rFonts w:asciiTheme="minorHAnsi" w:hAnsiTheme="minorHAnsi" w:cstheme="minorHAnsi"/>
          <w:sz w:val="22"/>
          <w:szCs w:val="22"/>
        </w:rPr>
      </w:pPr>
    </w:p>
    <w:p w:rsidR="005177D8" w:rsidRPr="00D41F65" w:rsidRDefault="005177D8" w:rsidP="007E677B">
      <w:pPr>
        <w:pStyle w:val="Heading1"/>
        <w:pBdr>
          <w:bottom w:val="single" w:sz="8" w:space="0" w:color="auto"/>
        </w:pBdr>
        <w:ind w:left="426"/>
        <w:rPr>
          <w:rFonts w:asciiTheme="minorHAnsi" w:hAnsiTheme="minorHAnsi" w:cstheme="minorHAnsi"/>
          <w:b/>
          <w:color w:val="auto"/>
          <w:sz w:val="24"/>
          <w:lang w:val="lv-LV"/>
        </w:rPr>
      </w:pPr>
      <w:bookmarkStart w:id="17" w:name="_Toc19108610"/>
      <w:bookmarkStart w:id="18" w:name="_Toc51146302"/>
      <w:r w:rsidRPr="00D41F65">
        <w:rPr>
          <w:rFonts w:asciiTheme="minorHAnsi" w:hAnsiTheme="minorHAnsi" w:cstheme="minorHAnsi"/>
          <w:b/>
          <w:color w:val="auto"/>
          <w:sz w:val="24"/>
          <w:lang w:val="lv-LV"/>
        </w:rPr>
        <w:t>Drošības ieteikumi</w:t>
      </w:r>
      <w:bookmarkEnd w:id="17"/>
      <w:bookmarkEnd w:id="18"/>
    </w:p>
    <w:p w:rsidR="007E677B" w:rsidRDefault="005177D8" w:rsidP="005177D8">
      <w:pPr>
        <w:pStyle w:val="Heading1"/>
        <w:pBdr>
          <w:bottom w:val="none" w:sz="0" w:space="0" w:color="auto"/>
        </w:pBdr>
        <w:spacing w:after="120" w:line="240" w:lineRule="auto"/>
        <w:ind w:firstLine="720"/>
        <w:jc w:val="both"/>
        <w:rPr>
          <w:rFonts w:ascii="Calibri" w:eastAsia="Times New Roman" w:hAnsi="Calibri" w:cs="Calibri"/>
          <w:color w:val="auto"/>
          <w:sz w:val="22"/>
          <w:szCs w:val="22"/>
          <w:lang w:val="lv-LV" w:eastAsia="en-US"/>
        </w:rPr>
      </w:pPr>
      <w:bookmarkStart w:id="19" w:name="_Toc51146303"/>
      <w:bookmarkStart w:id="20" w:name="_Toc19108611"/>
      <w:r w:rsidRPr="004E1ACF">
        <w:rPr>
          <w:rFonts w:ascii="Calibri" w:eastAsia="Times New Roman" w:hAnsi="Calibri" w:cs="Calibri"/>
          <w:color w:val="auto"/>
          <w:sz w:val="22"/>
          <w:szCs w:val="22"/>
          <w:lang w:val="lv-LV" w:eastAsia="en-US"/>
        </w:rPr>
        <w:t>2018.gadā VDzTI saņēma Transporta nelaimes gadījumu un incidentu izmeklēšanas biroja Izmeklēšanas nobeiguma pārskatu Nr.5-02/1-17 ,,Dīzeļlokomotīves 2TE10M Nr.3424 ,,B” sekcijas ugunsgrēks 2017.gada 9.februārī Jelgavas dzelzceļa stacijā”</w:t>
      </w:r>
      <w:r w:rsidR="007E677B">
        <w:rPr>
          <w:rFonts w:ascii="Calibri" w:eastAsia="Times New Roman" w:hAnsi="Calibri" w:cs="Calibri"/>
          <w:color w:val="auto"/>
          <w:sz w:val="22"/>
          <w:szCs w:val="22"/>
          <w:lang w:val="lv-LV" w:eastAsia="en-US"/>
        </w:rPr>
        <w:t>. Visi ieteikumi ir ņemti vērā un ieviesti.</w:t>
      </w:r>
      <w:bookmarkEnd w:id="19"/>
      <w:r w:rsidR="007E677B">
        <w:rPr>
          <w:rFonts w:ascii="Calibri" w:eastAsia="Times New Roman" w:hAnsi="Calibri" w:cs="Calibri"/>
          <w:color w:val="auto"/>
          <w:sz w:val="22"/>
          <w:szCs w:val="22"/>
          <w:lang w:val="lv-LV" w:eastAsia="en-US"/>
        </w:rPr>
        <w:t xml:space="preserve"> </w:t>
      </w:r>
    </w:p>
    <w:p w:rsidR="007E677B" w:rsidRDefault="007E677B" w:rsidP="007E677B">
      <w:pPr>
        <w:pStyle w:val="Heading1"/>
        <w:pBdr>
          <w:bottom w:val="none" w:sz="0" w:space="0" w:color="auto"/>
        </w:pBdr>
        <w:spacing w:after="120" w:line="240" w:lineRule="auto"/>
        <w:ind w:firstLine="720"/>
        <w:jc w:val="both"/>
        <w:rPr>
          <w:rFonts w:ascii="Calibri" w:eastAsia="Times New Roman" w:hAnsi="Calibri" w:cs="Calibri"/>
          <w:color w:val="auto"/>
          <w:sz w:val="22"/>
          <w:szCs w:val="22"/>
          <w:lang w:val="lv-LV" w:eastAsia="en-US"/>
        </w:rPr>
      </w:pPr>
      <w:bookmarkStart w:id="21" w:name="_Toc51146304"/>
      <w:r>
        <w:rPr>
          <w:rFonts w:ascii="Calibri" w:eastAsia="Times New Roman" w:hAnsi="Calibri" w:cs="Calibri"/>
          <w:color w:val="auto"/>
          <w:sz w:val="22"/>
          <w:szCs w:val="22"/>
          <w:lang w:val="lv-LV" w:eastAsia="en-US"/>
        </w:rPr>
        <w:t xml:space="preserve">2019.gadā ieteikumi no </w:t>
      </w:r>
      <w:r w:rsidRPr="004E1ACF">
        <w:rPr>
          <w:rFonts w:ascii="Calibri" w:eastAsia="Times New Roman" w:hAnsi="Calibri" w:cs="Calibri"/>
          <w:color w:val="auto"/>
          <w:sz w:val="22"/>
          <w:szCs w:val="22"/>
          <w:lang w:val="lv-LV" w:eastAsia="en-US"/>
        </w:rPr>
        <w:t>Transporta nelaimes gadījumu un incidentu izmeklēšanas biroja</w:t>
      </w:r>
      <w:r>
        <w:rPr>
          <w:rFonts w:ascii="Calibri" w:eastAsia="Times New Roman" w:hAnsi="Calibri" w:cs="Calibri"/>
          <w:color w:val="auto"/>
          <w:sz w:val="22"/>
          <w:szCs w:val="22"/>
          <w:lang w:val="lv-LV" w:eastAsia="en-US"/>
        </w:rPr>
        <w:t xml:space="preserve"> nav saņemti</w:t>
      </w:r>
      <w:bookmarkEnd w:id="20"/>
      <w:r>
        <w:rPr>
          <w:rFonts w:ascii="Calibri" w:eastAsia="Times New Roman" w:hAnsi="Calibri" w:cs="Calibri"/>
          <w:color w:val="auto"/>
          <w:sz w:val="22"/>
          <w:szCs w:val="22"/>
          <w:lang w:val="lv-LV" w:eastAsia="en-US"/>
        </w:rPr>
        <w:t>.</w:t>
      </w:r>
      <w:bookmarkEnd w:id="21"/>
      <w:r>
        <w:rPr>
          <w:rFonts w:ascii="Calibri" w:eastAsia="Times New Roman" w:hAnsi="Calibri" w:cs="Calibri"/>
          <w:color w:val="auto"/>
          <w:sz w:val="22"/>
          <w:szCs w:val="22"/>
          <w:lang w:val="lv-LV" w:eastAsia="en-US"/>
        </w:rPr>
        <w:t xml:space="preserve"> </w:t>
      </w:r>
    </w:p>
    <w:p w:rsidR="003F6461" w:rsidRPr="00D41F65" w:rsidRDefault="003F6461" w:rsidP="00CF2E39">
      <w:pPr>
        <w:pStyle w:val="Heading1"/>
        <w:pBdr>
          <w:bottom w:val="single" w:sz="8" w:space="0" w:color="auto"/>
        </w:pBdr>
        <w:ind w:left="426"/>
        <w:rPr>
          <w:rFonts w:asciiTheme="minorHAnsi" w:hAnsiTheme="minorHAnsi" w:cstheme="minorHAnsi"/>
          <w:b/>
          <w:color w:val="auto"/>
          <w:sz w:val="24"/>
          <w:lang w:val="lv-LV"/>
        </w:rPr>
      </w:pPr>
      <w:bookmarkStart w:id="22" w:name="_Toc51146305"/>
      <w:r w:rsidRPr="00D41F65">
        <w:rPr>
          <w:rFonts w:asciiTheme="minorHAnsi" w:hAnsiTheme="minorHAnsi" w:cstheme="minorHAnsi"/>
          <w:b/>
          <w:color w:val="auto"/>
          <w:sz w:val="24"/>
          <w:lang w:val="lv-LV"/>
        </w:rPr>
        <w:t>VDzTI struktūra un personāls</w:t>
      </w:r>
      <w:bookmarkEnd w:id="22"/>
      <w:r w:rsidRPr="00D41F65">
        <w:rPr>
          <w:rFonts w:asciiTheme="minorHAnsi" w:hAnsiTheme="minorHAnsi" w:cstheme="minorHAnsi"/>
          <w:b/>
          <w:color w:val="auto"/>
          <w:sz w:val="24"/>
          <w:lang w:val="lv-LV"/>
        </w:rPr>
        <w:t xml:space="preserve"> </w:t>
      </w:r>
    </w:p>
    <w:p w:rsidR="003F6461" w:rsidRPr="00580E74" w:rsidRDefault="003F6461" w:rsidP="003F6461">
      <w:pPr>
        <w:pStyle w:val="Heading2"/>
        <w:numPr>
          <w:ilvl w:val="1"/>
          <w:numId w:val="0"/>
        </w:numPr>
        <w:spacing w:before="360" w:line="259" w:lineRule="auto"/>
        <w:ind w:firstLine="720"/>
        <w:jc w:val="both"/>
        <w:rPr>
          <w:rFonts w:ascii="Calibri" w:hAnsi="Calibri" w:cs="Calibri"/>
          <w:b/>
          <w:color w:val="auto"/>
          <w:sz w:val="22"/>
          <w:szCs w:val="22"/>
          <w:lang w:val="lv-LV"/>
        </w:rPr>
      </w:pPr>
      <w:bookmarkStart w:id="23" w:name="_Toc51146306"/>
      <w:r w:rsidRPr="00580E74">
        <w:rPr>
          <w:rFonts w:ascii="Calibri" w:hAnsi="Calibri" w:cs="Calibri"/>
          <w:color w:val="auto"/>
          <w:sz w:val="22"/>
          <w:szCs w:val="22"/>
          <w:lang w:val="lv-LV"/>
        </w:rPr>
        <w:t>VD</w:t>
      </w:r>
      <w:r>
        <w:rPr>
          <w:rFonts w:ascii="Calibri" w:hAnsi="Calibri" w:cs="Calibri"/>
          <w:color w:val="auto"/>
          <w:sz w:val="22"/>
          <w:szCs w:val="22"/>
          <w:lang w:val="lv-LV"/>
        </w:rPr>
        <w:t>z</w:t>
      </w:r>
      <w:r w:rsidRPr="00580E74">
        <w:rPr>
          <w:rFonts w:ascii="Calibri" w:hAnsi="Calibri" w:cs="Calibri"/>
          <w:color w:val="auto"/>
          <w:sz w:val="22"/>
          <w:szCs w:val="22"/>
          <w:lang w:val="lv-LV"/>
        </w:rPr>
        <w:t>TI struktūra 201</w:t>
      </w:r>
      <w:r>
        <w:rPr>
          <w:rFonts w:ascii="Calibri" w:hAnsi="Calibri" w:cs="Calibri"/>
          <w:color w:val="auto"/>
          <w:sz w:val="22"/>
          <w:szCs w:val="22"/>
          <w:lang w:val="lv-LV"/>
        </w:rPr>
        <w:t>9</w:t>
      </w:r>
      <w:r w:rsidRPr="00580E74">
        <w:rPr>
          <w:rFonts w:ascii="Calibri" w:hAnsi="Calibri" w:cs="Calibri"/>
          <w:color w:val="auto"/>
          <w:sz w:val="22"/>
          <w:szCs w:val="22"/>
          <w:lang w:val="lv-LV"/>
        </w:rPr>
        <w:t>.gadā nav mainījusies.  Uz 201</w:t>
      </w:r>
      <w:r>
        <w:rPr>
          <w:rFonts w:ascii="Calibri" w:hAnsi="Calibri" w:cs="Calibri"/>
          <w:color w:val="auto"/>
          <w:sz w:val="22"/>
          <w:szCs w:val="22"/>
          <w:lang w:val="lv-LV"/>
        </w:rPr>
        <w:t>9</w:t>
      </w:r>
      <w:r w:rsidRPr="00580E74">
        <w:rPr>
          <w:rFonts w:ascii="Calibri" w:hAnsi="Calibri" w:cs="Calibri"/>
          <w:color w:val="auto"/>
          <w:sz w:val="22"/>
          <w:szCs w:val="22"/>
          <w:lang w:val="lv-LV"/>
        </w:rPr>
        <w:t xml:space="preserve">.gada 31.decembri inspekcijā bija 22 amata vietas. Pārskata gadā inspekcijā tika nodarbinātas 22 personas. </w:t>
      </w:r>
      <w:r w:rsidR="008E5A46">
        <w:rPr>
          <w:rFonts w:ascii="Calibri" w:hAnsi="Calibri" w:cs="Calibri"/>
          <w:color w:val="auto"/>
          <w:sz w:val="22"/>
          <w:szCs w:val="22"/>
          <w:lang w:val="lv-LV"/>
        </w:rPr>
        <w:t xml:space="preserve">Informācija par iestādes organizatorisko struktūru ir pieejama tīmekļvietnē </w:t>
      </w:r>
      <w:hyperlink r:id="rId15" w:history="1">
        <w:r w:rsidR="008E5A46" w:rsidRPr="004E4A71">
          <w:rPr>
            <w:rStyle w:val="Hyperlink"/>
            <w:rFonts w:ascii="Calibri" w:hAnsi="Calibri" w:cs="Calibri"/>
            <w:sz w:val="22"/>
            <w:szCs w:val="22"/>
            <w:lang w:val="lv-LV"/>
          </w:rPr>
          <w:t>http://www.vdzti.gov.lv/index.php?id=282&amp;sa=282</w:t>
        </w:r>
        <w:bookmarkEnd w:id="23"/>
      </w:hyperlink>
      <w:r w:rsidR="008E5A46">
        <w:rPr>
          <w:rFonts w:ascii="Calibri" w:hAnsi="Calibri" w:cs="Calibri"/>
          <w:color w:val="auto"/>
          <w:sz w:val="22"/>
          <w:szCs w:val="22"/>
          <w:lang w:val="lv-LV"/>
        </w:rPr>
        <w:t xml:space="preserve"> </w:t>
      </w:r>
    </w:p>
    <w:p w:rsidR="003F6461" w:rsidRPr="00580E74" w:rsidRDefault="003F6461" w:rsidP="008E5A46">
      <w:pPr>
        <w:spacing w:after="12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VDz</w:t>
      </w:r>
      <w:r w:rsidRPr="00580E74">
        <w:rPr>
          <w:rFonts w:ascii="Calibri" w:hAnsi="Calibri" w:cs="Calibri"/>
          <w:color w:val="auto"/>
          <w:sz w:val="22"/>
          <w:szCs w:val="22"/>
          <w:lang w:val="lv-LV"/>
        </w:rPr>
        <w:t xml:space="preserve">TI ir četras struktūrvienības, kur trīs no tām nodrošina kontroles un uzraudzības funkcijas, viena struktūrvienība nodrošina </w:t>
      </w:r>
      <w:r>
        <w:rPr>
          <w:rFonts w:ascii="Calibri" w:hAnsi="Calibri" w:cs="Calibri"/>
          <w:color w:val="auto"/>
          <w:sz w:val="22"/>
          <w:szCs w:val="22"/>
          <w:lang w:val="lv-LV"/>
        </w:rPr>
        <w:t>pārvaldības uzdevumus</w:t>
      </w:r>
      <w:r w:rsidRPr="00580E74">
        <w:rPr>
          <w:rFonts w:ascii="Calibri" w:hAnsi="Calibri" w:cs="Calibri"/>
          <w:color w:val="auto"/>
          <w:sz w:val="22"/>
          <w:szCs w:val="22"/>
          <w:lang w:val="lv-LV"/>
        </w:rPr>
        <w:t>.</w:t>
      </w:r>
      <w:r w:rsidR="008E5A46">
        <w:rPr>
          <w:rFonts w:ascii="Calibri" w:hAnsi="Calibri" w:cs="Calibri"/>
          <w:color w:val="auto"/>
          <w:sz w:val="22"/>
          <w:szCs w:val="22"/>
          <w:lang w:val="lv-LV"/>
        </w:rPr>
        <w:t xml:space="preserve"> Struktūrvienību uzdevumus nosaka reglaments un pieejams tīmekļvietnē </w:t>
      </w:r>
      <w:hyperlink r:id="rId16" w:history="1">
        <w:r w:rsidR="008E5A46" w:rsidRPr="004E4A71">
          <w:rPr>
            <w:rStyle w:val="Hyperlink"/>
            <w:rFonts w:ascii="Calibri" w:hAnsi="Calibri" w:cs="Calibri"/>
            <w:sz w:val="22"/>
            <w:szCs w:val="22"/>
            <w:lang w:val="lv-LV"/>
          </w:rPr>
          <w:t>http://www.vdzti.gov.lv/index.php?id=293&amp;top=266&amp;sa=282</w:t>
        </w:r>
      </w:hyperlink>
      <w:r w:rsidR="008E5A46">
        <w:rPr>
          <w:rFonts w:ascii="Calibri" w:hAnsi="Calibri" w:cs="Calibri"/>
          <w:color w:val="auto"/>
          <w:sz w:val="22"/>
          <w:szCs w:val="22"/>
          <w:lang w:val="lv-LV"/>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F6461" w:rsidRPr="00FF6BC6" w:rsidTr="004E6705">
        <w:tc>
          <w:tcPr>
            <w:tcW w:w="576" w:type="dxa"/>
            <w:shd w:val="clear" w:color="auto" w:fill="D9D9D9" w:themeFill="background1" w:themeFillShade="D9"/>
          </w:tcPr>
          <w:p w:rsidR="003F6461" w:rsidRPr="00580E74" w:rsidRDefault="003F6461" w:rsidP="002E672E">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rsidR="003F6461" w:rsidRPr="00B75841" w:rsidRDefault="003F6461" w:rsidP="004E6705">
            <w:pPr>
              <w:pStyle w:val="NormalWeb"/>
              <w:spacing w:before="0" w:beforeAutospacing="0" w:after="120" w:afterAutospacing="0"/>
              <w:rPr>
                <w:rFonts w:ascii="Calibri" w:hAnsi="Calibri" w:cs="Calibri"/>
                <w:b/>
                <w:iCs/>
                <w:sz w:val="22"/>
                <w:szCs w:val="22"/>
                <w:lang w:val="lv-LV"/>
              </w:rPr>
            </w:pPr>
            <w:r w:rsidRPr="00B75841">
              <w:rPr>
                <w:rFonts w:ascii="Calibri" w:hAnsi="Calibri" w:cs="Calibri"/>
                <w:b/>
                <w:sz w:val="22"/>
                <w:szCs w:val="22"/>
                <w:lang w:val="lv-LV"/>
              </w:rPr>
              <w:t xml:space="preserve"> </w:t>
            </w:r>
            <w:r w:rsidR="004E6705">
              <w:rPr>
                <w:rFonts w:ascii="Calibri" w:hAnsi="Calibri" w:cs="Calibri"/>
                <w:b/>
                <w:sz w:val="22"/>
                <w:szCs w:val="22"/>
                <w:lang w:val="lv-LV"/>
              </w:rPr>
              <w:t xml:space="preserve">VDzTI savā darbībā pakāpeniski ievieš drošības kultūras modeli, nodrošinot risku identificēšanu un to pārvaldību, uzlabojot komunikācijas un sadarbības modeli, ievieš jaunas metodes uzraudzības procesu pilnveidošanai. </w:t>
            </w:r>
            <w:r w:rsidRPr="00B75841">
              <w:rPr>
                <w:rFonts w:ascii="Calibri" w:hAnsi="Calibri" w:cs="Calibri"/>
                <w:b/>
                <w:sz w:val="22"/>
                <w:szCs w:val="22"/>
                <w:lang w:val="lv-LV"/>
              </w:rPr>
              <w:t xml:space="preserve"> </w:t>
            </w:r>
          </w:p>
        </w:tc>
      </w:tr>
    </w:tbl>
    <w:p w:rsidR="004E6705" w:rsidRDefault="004E6705" w:rsidP="003F6461">
      <w:pPr>
        <w:pStyle w:val="BodyTextIndent"/>
        <w:spacing w:before="120" w:line="240" w:lineRule="auto"/>
        <w:ind w:left="0" w:firstLine="720"/>
        <w:jc w:val="both"/>
        <w:rPr>
          <w:rFonts w:ascii="Calibri" w:hAnsi="Calibri" w:cs="Calibri"/>
          <w:color w:val="auto"/>
          <w:sz w:val="22"/>
          <w:szCs w:val="22"/>
          <w:lang w:val="lv-LV"/>
        </w:rPr>
      </w:pPr>
      <w:r w:rsidRPr="004E6705">
        <w:rPr>
          <w:rFonts w:ascii="Calibri" w:hAnsi="Calibri" w:cs="Calibri"/>
          <w:color w:val="auto"/>
          <w:sz w:val="22"/>
          <w:szCs w:val="22"/>
          <w:lang w:val="lv-LV"/>
        </w:rPr>
        <w:t xml:space="preserve">VDZTI 80% no darbinieku kopskaita ir dzelzceļa nozares speciālisti. VDzTI darbiniekiem ir nepieciešams pārzināt dzelzceļa nozari, lai spētu patstāvīgi pieņemt lēmumus ārkārtas situācijās un sniegt priekšlikumus kustības drošības stāvokļa uzlabošanai. Darbiniekiem, kuri nodarbojas ar dzelzceļa jautājumu </w:t>
      </w:r>
      <w:r w:rsidRPr="004E6705">
        <w:rPr>
          <w:rFonts w:ascii="Calibri" w:hAnsi="Calibri" w:cs="Calibri"/>
          <w:color w:val="auto"/>
          <w:sz w:val="22"/>
          <w:szCs w:val="22"/>
          <w:lang w:val="lv-LV"/>
        </w:rPr>
        <w:lastRenderedPageBreak/>
        <w:t>risināšanu, ir augstākā tehniskā izglītība dzelzceļa nozarē - inženiera kvalifikācija. Visi VDzTI darbinieki ir ar augstāko izglītību.</w:t>
      </w:r>
    </w:p>
    <w:p w:rsidR="003F3437" w:rsidRPr="00D41F65" w:rsidRDefault="003F3437" w:rsidP="00A04819">
      <w:pPr>
        <w:pStyle w:val="Heading1"/>
        <w:pBdr>
          <w:bottom w:val="single" w:sz="4" w:space="0" w:color="auto"/>
        </w:pBdr>
        <w:ind w:left="567" w:hanging="141"/>
        <w:rPr>
          <w:rFonts w:asciiTheme="minorHAnsi" w:hAnsiTheme="minorHAnsi" w:cstheme="minorHAnsi"/>
          <w:b/>
          <w:color w:val="auto"/>
          <w:sz w:val="24"/>
          <w:lang w:val="lv-LV"/>
        </w:rPr>
      </w:pPr>
      <w:bookmarkStart w:id="24" w:name="_Toc51146307"/>
      <w:r w:rsidRPr="00D41F65">
        <w:rPr>
          <w:rFonts w:asciiTheme="minorHAnsi" w:hAnsiTheme="minorHAnsi" w:cstheme="minorHAnsi"/>
          <w:b/>
          <w:color w:val="auto"/>
          <w:sz w:val="24"/>
          <w:lang w:val="lv-LV"/>
        </w:rPr>
        <w:t>Kustības drošības stāvokļa novērtējums</w:t>
      </w:r>
      <w:bookmarkEnd w:id="24"/>
    </w:p>
    <w:p w:rsidR="003D487B" w:rsidRPr="006006BD" w:rsidRDefault="003D487B" w:rsidP="003D487B">
      <w:pPr>
        <w:spacing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 xml:space="preserve">VDzTI </w:t>
      </w:r>
      <w:r w:rsidR="00727943" w:rsidRPr="006006BD">
        <w:rPr>
          <w:rFonts w:ascii="Calibri" w:hAnsi="Calibri" w:cs="Calibri"/>
          <w:color w:val="auto"/>
          <w:sz w:val="22"/>
          <w:szCs w:val="22"/>
          <w:lang w:val="lv-LV"/>
        </w:rPr>
        <w:t>ir pienākums apkopot dzelz</w:t>
      </w:r>
      <w:r w:rsidR="00D6683D">
        <w:rPr>
          <w:rFonts w:ascii="Calibri" w:hAnsi="Calibri" w:cs="Calibri"/>
          <w:color w:val="auto"/>
          <w:sz w:val="22"/>
          <w:szCs w:val="22"/>
          <w:lang w:val="lv-LV"/>
        </w:rPr>
        <w:t>ceļa satiksmes negadījumu datus</w:t>
      </w:r>
      <w:r w:rsidRPr="006006BD">
        <w:rPr>
          <w:rFonts w:ascii="Calibri" w:hAnsi="Calibri" w:cs="Calibri"/>
          <w:color w:val="auto"/>
          <w:sz w:val="22"/>
          <w:szCs w:val="22"/>
          <w:lang w:val="lv-LV"/>
        </w:rPr>
        <w:t xml:space="preserve">.  Noteikts datu kopums var būt par pamatu </w:t>
      </w:r>
      <w:r w:rsidR="00727943" w:rsidRPr="006006BD">
        <w:rPr>
          <w:rFonts w:ascii="Calibri" w:hAnsi="Calibri" w:cs="Calibri"/>
          <w:color w:val="auto"/>
          <w:sz w:val="22"/>
          <w:szCs w:val="22"/>
          <w:lang w:val="lv-LV"/>
        </w:rPr>
        <w:t xml:space="preserve"> dzelzceļa attīstības novērtēšanai</w:t>
      </w:r>
      <w:r w:rsidRPr="006006BD">
        <w:rPr>
          <w:rFonts w:ascii="Calibri" w:hAnsi="Calibri" w:cs="Calibri"/>
          <w:color w:val="auto"/>
          <w:sz w:val="22"/>
          <w:szCs w:val="22"/>
          <w:lang w:val="lv-LV"/>
        </w:rPr>
        <w:t xml:space="preserve">.  Analīze par kustības drošības stāvokli </w:t>
      </w:r>
      <w:r w:rsidR="00727943" w:rsidRPr="006006BD">
        <w:rPr>
          <w:rFonts w:ascii="Calibri" w:hAnsi="Calibri" w:cs="Calibri"/>
          <w:color w:val="auto"/>
          <w:sz w:val="22"/>
          <w:szCs w:val="22"/>
          <w:lang w:val="lv-LV"/>
        </w:rPr>
        <w:t>ir balstīt</w:t>
      </w:r>
      <w:r w:rsidRPr="006006BD">
        <w:rPr>
          <w:rFonts w:ascii="Calibri" w:hAnsi="Calibri" w:cs="Calibri"/>
          <w:color w:val="auto"/>
          <w:sz w:val="22"/>
          <w:szCs w:val="22"/>
          <w:lang w:val="lv-LV"/>
        </w:rPr>
        <w:t xml:space="preserve">a </w:t>
      </w:r>
      <w:r w:rsidR="00727943" w:rsidRPr="006006BD">
        <w:rPr>
          <w:rFonts w:ascii="Calibri" w:hAnsi="Calibri" w:cs="Calibri"/>
          <w:color w:val="auto"/>
          <w:sz w:val="22"/>
          <w:szCs w:val="22"/>
          <w:lang w:val="lv-LV"/>
        </w:rPr>
        <w:t xml:space="preserve">uz </w:t>
      </w:r>
      <w:r w:rsidRPr="006006BD">
        <w:rPr>
          <w:rFonts w:ascii="Calibri" w:hAnsi="Calibri" w:cs="Calibri"/>
          <w:color w:val="auto"/>
          <w:sz w:val="22"/>
          <w:szCs w:val="22"/>
          <w:lang w:val="lv-LV"/>
        </w:rPr>
        <w:t xml:space="preserve">dzelzceļa satiksmes negadījumu </w:t>
      </w:r>
      <w:r w:rsidR="00C16879">
        <w:rPr>
          <w:rFonts w:ascii="Calibri" w:hAnsi="Calibri" w:cs="Calibri"/>
          <w:color w:val="auto"/>
          <w:sz w:val="22"/>
          <w:szCs w:val="22"/>
          <w:lang w:val="lv-LV"/>
        </w:rPr>
        <w:t xml:space="preserve">un </w:t>
      </w:r>
      <w:r w:rsidRPr="006006BD">
        <w:rPr>
          <w:rFonts w:ascii="Calibri" w:hAnsi="Calibri" w:cs="Calibri"/>
          <w:color w:val="auto"/>
          <w:sz w:val="22"/>
          <w:szCs w:val="22"/>
          <w:lang w:val="lv-LV"/>
        </w:rPr>
        <w:t xml:space="preserve">cietušo personu datiem. Balstoties uz cietušo apjomu, tiek izvērtēti riski cietušo kategorijām  un tas ļauj novērtēt rādītājus ES līmenī.  </w:t>
      </w:r>
    </w:p>
    <w:p w:rsidR="005752E3" w:rsidRDefault="003D487B" w:rsidP="005752E3">
      <w:pPr>
        <w:spacing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Datu kvalitāti un pilnīgumu nodrošina VDzTI</w:t>
      </w:r>
      <w:r w:rsidR="00C16879">
        <w:rPr>
          <w:rFonts w:ascii="Calibri" w:hAnsi="Calibri" w:cs="Calibri"/>
          <w:color w:val="auto"/>
          <w:sz w:val="22"/>
          <w:szCs w:val="22"/>
          <w:lang w:val="lv-LV"/>
        </w:rPr>
        <w:t>, kas</w:t>
      </w:r>
      <w:r w:rsidRPr="006006BD">
        <w:rPr>
          <w:rFonts w:ascii="Calibri" w:hAnsi="Calibri" w:cs="Calibri"/>
          <w:color w:val="auto"/>
          <w:sz w:val="22"/>
          <w:szCs w:val="22"/>
          <w:lang w:val="lv-LV"/>
        </w:rPr>
        <w:t xml:space="preserve"> ik mēnesi publicē negadījumu datus par cietušajiem savā tīmekļa vietnē un tie ir pieejami sadaļā </w:t>
      </w:r>
      <w:hyperlink r:id="rId17" w:history="1">
        <w:r w:rsidRPr="00985623">
          <w:rPr>
            <w:rStyle w:val="Hyperlink"/>
            <w:rFonts w:ascii="Calibri" w:hAnsi="Calibri" w:cs="Calibri"/>
            <w:sz w:val="22"/>
            <w:szCs w:val="22"/>
            <w:lang w:val="lv-LV"/>
          </w:rPr>
          <w:t>Statistika</w:t>
        </w:r>
      </w:hyperlink>
      <w:r w:rsidRPr="006006BD">
        <w:rPr>
          <w:rFonts w:ascii="Calibri" w:hAnsi="Calibri" w:cs="Calibri"/>
          <w:color w:val="auto"/>
          <w:sz w:val="22"/>
          <w:szCs w:val="22"/>
          <w:lang w:val="lv-LV"/>
        </w:rPr>
        <w:t xml:space="preserve">. </w:t>
      </w:r>
      <w:r w:rsidR="00985623">
        <w:rPr>
          <w:rFonts w:ascii="Calibri" w:hAnsi="Calibri" w:cs="Calibri"/>
          <w:color w:val="auto"/>
          <w:sz w:val="22"/>
          <w:szCs w:val="22"/>
          <w:lang w:val="lv-LV"/>
        </w:rPr>
        <w:t>Dati tiek arī analizēti grafiski, kas parāda, ka cietušo skaits pakāpeniski samazinās. Vidējais statistiskais rādītājs no 2004.-2019.gadam ir 3,98 cietušie</w:t>
      </w:r>
      <w:r w:rsidR="00D6683D">
        <w:rPr>
          <w:rFonts w:ascii="Calibri" w:hAnsi="Calibri" w:cs="Calibri"/>
          <w:color w:val="auto"/>
          <w:sz w:val="22"/>
          <w:szCs w:val="22"/>
          <w:lang w:val="lv-LV"/>
        </w:rPr>
        <w:t xml:space="preserve"> mēnesī</w:t>
      </w:r>
      <w:r w:rsidR="00985623">
        <w:rPr>
          <w:rFonts w:ascii="Calibri" w:hAnsi="Calibri" w:cs="Calibri"/>
          <w:color w:val="auto"/>
          <w:sz w:val="22"/>
          <w:szCs w:val="22"/>
          <w:lang w:val="lv-LV"/>
        </w:rPr>
        <w:t xml:space="preserve">, 2019.gadā 1 cietušais mēnesī.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5752E3" w:rsidRPr="00FF6BC6" w:rsidTr="003E03B3">
        <w:tc>
          <w:tcPr>
            <w:tcW w:w="421" w:type="dxa"/>
            <w:shd w:val="clear" w:color="auto" w:fill="D9D9D9" w:themeFill="background1" w:themeFillShade="D9"/>
          </w:tcPr>
          <w:p w:rsidR="005752E3" w:rsidRPr="006006BD" w:rsidRDefault="000145ED" w:rsidP="003E03B3">
            <w:pPr>
              <w:spacing w:after="0" w:line="240" w:lineRule="auto"/>
              <w:jc w:val="both"/>
              <w:rPr>
                <w:rFonts w:cstheme="minorHAnsi"/>
                <w:b/>
                <w:bCs/>
                <w:color w:val="auto"/>
                <w:sz w:val="22"/>
                <w:szCs w:val="22"/>
                <w:lang w:val="lv-LV"/>
              </w:rPr>
            </w:pPr>
            <w:r w:rsidRPr="006006BD">
              <w:rPr>
                <w:rFonts w:cstheme="minorHAnsi"/>
                <w:b/>
                <w:bCs/>
                <w:color w:val="FF0000"/>
                <w:sz w:val="44"/>
                <w:szCs w:val="22"/>
                <w:lang w:val="lv-LV"/>
              </w:rPr>
              <w:t>!</w:t>
            </w:r>
          </w:p>
        </w:tc>
        <w:tc>
          <w:tcPr>
            <w:tcW w:w="9218" w:type="dxa"/>
            <w:shd w:val="clear" w:color="auto" w:fill="D9D9D9" w:themeFill="background1" w:themeFillShade="D9"/>
            <w:vAlign w:val="center"/>
          </w:tcPr>
          <w:p w:rsidR="005752E3" w:rsidRPr="00B75841" w:rsidRDefault="005752E3" w:rsidP="003E03B3">
            <w:pPr>
              <w:spacing w:after="0" w:line="240" w:lineRule="auto"/>
              <w:rPr>
                <w:rFonts w:cstheme="minorHAnsi"/>
                <w:b/>
                <w:bCs/>
                <w:color w:val="auto"/>
                <w:sz w:val="22"/>
                <w:szCs w:val="22"/>
                <w:lang w:val="lv-LV"/>
              </w:rPr>
            </w:pPr>
            <w:r w:rsidRPr="00B75841">
              <w:rPr>
                <w:rFonts w:cstheme="minorHAnsi"/>
                <w:b/>
                <w:bCs/>
                <w:color w:val="auto"/>
                <w:sz w:val="24"/>
                <w:szCs w:val="22"/>
                <w:lang w:val="lv-LV"/>
              </w:rPr>
              <w:t>Dzelzceļa satiksmes negadījumu skaits pakāpeniski samazinās, arī cietušo personu skaits samazinās.</w:t>
            </w:r>
          </w:p>
        </w:tc>
      </w:tr>
    </w:tbl>
    <w:p w:rsidR="009C24FD" w:rsidRPr="006006BD" w:rsidRDefault="009C24FD" w:rsidP="00985623">
      <w:pPr>
        <w:spacing w:before="120" w:after="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Vidējais rādītājs visās kategorijās  pakāpeniski samazinās, tai skaitā ar</w:t>
      </w:r>
      <w:r w:rsidR="00C16879">
        <w:rPr>
          <w:rFonts w:ascii="Calibri" w:hAnsi="Calibri" w:cs="Calibri"/>
          <w:color w:val="auto"/>
          <w:sz w:val="22"/>
          <w:szCs w:val="22"/>
          <w:lang w:val="lv-LV"/>
        </w:rPr>
        <w:t>ī</w:t>
      </w:r>
      <w:r w:rsidRPr="006006BD">
        <w:rPr>
          <w:rFonts w:ascii="Calibri" w:hAnsi="Calibri" w:cs="Calibri"/>
          <w:color w:val="auto"/>
          <w:sz w:val="22"/>
          <w:szCs w:val="22"/>
          <w:lang w:val="lv-LV"/>
        </w:rPr>
        <w:t xml:space="preserve"> personām, kas gājušas bojā. Ievērojams samazinājums ir bijis</w:t>
      </w:r>
      <w:r w:rsidR="00C16879">
        <w:rPr>
          <w:rFonts w:ascii="Calibri" w:hAnsi="Calibri" w:cs="Calibri"/>
          <w:color w:val="auto"/>
          <w:sz w:val="22"/>
          <w:szCs w:val="22"/>
          <w:lang w:val="lv-LV"/>
        </w:rPr>
        <w:t xml:space="preserve"> kategorijā ar</w:t>
      </w:r>
      <w:r w:rsidRPr="006006BD">
        <w:rPr>
          <w:rFonts w:ascii="Calibri" w:hAnsi="Calibri" w:cs="Calibri"/>
          <w:color w:val="auto"/>
          <w:sz w:val="22"/>
          <w:szCs w:val="22"/>
          <w:lang w:val="lv-LV"/>
        </w:rPr>
        <w:t xml:space="preserve"> person</w:t>
      </w:r>
      <w:r w:rsidR="00C16879">
        <w:rPr>
          <w:rFonts w:ascii="Calibri" w:hAnsi="Calibri" w:cs="Calibri"/>
          <w:color w:val="auto"/>
          <w:sz w:val="22"/>
          <w:szCs w:val="22"/>
          <w:lang w:val="lv-LV"/>
        </w:rPr>
        <w:t>ām, kas</w:t>
      </w:r>
      <w:r w:rsidRPr="006006BD">
        <w:rPr>
          <w:rFonts w:ascii="Calibri" w:hAnsi="Calibri" w:cs="Calibri"/>
          <w:color w:val="auto"/>
          <w:sz w:val="22"/>
          <w:szCs w:val="22"/>
          <w:lang w:val="lv-LV"/>
        </w:rPr>
        <w:t xml:space="preserve"> guvušas </w:t>
      </w:r>
      <w:r w:rsidR="00985623">
        <w:rPr>
          <w:rFonts w:ascii="Calibri" w:hAnsi="Calibri" w:cs="Calibri"/>
          <w:color w:val="auto"/>
          <w:sz w:val="22"/>
          <w:szCs w:val="22"/>
          <w:lang w:val="lv-LV"/>
        </w:rPr>
        <w:t xml:space="preserve">smagus </w:t>
      </w:r>
      <w:r w:rsidRPr="006006BD">
        <w:rPr>
          <w:rFonts w:ascii="Calibri" w:hAnsi="Calibri" w:cs="Calibri"/>
          <w:color w:val="auto"/>
          <w:sz w:val="22"/>
          <w:szCs w:val="22"/>
          <w:lang w:val="lv-LV"/>
        </w:rPr>
        <w:t xml:space="preserve">miesas bojājumus. Ne tik straujš samazinājums ir vērojams negadījumos ar letālām sekām. </w:t>
      </w:r>
      <w:r w:rsidR="00985623">
        <w:rPr>
          <w:rFonts w:ascii="Calibri" w:hAnsi="Calibri" w:cs="Calibri"/>
          <w:color w:val="auto"/>
          <w:sz w:val="22"/>
          <w:szCs w:val="22"/>
          <w:lang w:val="lv-LV"/>
        </w:rPr>
        <w:t>Vairumā n</w:t>
      </w:r>
      <w:r w:rsidRPr="006006BD">
        <w:rPr>
          <w:rFonts w:ascii="Calibri" w:hAnsi="Calibri" w:cs="Calibri"/>
          <w:color w:val="auto"/>
          <w:sz w:val="22"/>
          <w:szCs w:val="22"/>
          <w:lang w:val="lv-LV"/>
        </w:rPr>
        <w:t>egadījum</w:t>
      </w:r>
      <w:r w:rsidR="000D28E2">
        <w:rPr>
          <w:rFonts w:ascii="Calibri" w:hAnsi="Calibri" w:cs="Calibri"/>
          <w:color w:val="auto"/>
          <w:sz w:val="22"/>
          <w:szCs w:val="22"/>
          <w:lang w:val="lv-LV"/>
        </w:rPr>
        <w:t>os cietušajiem</w:t>
      </w:r>
      <w:r w:rsidRPr="006006BD">
        <w:rPr>
          <w:rFonts w:ascii="Calibri" w:hAnsi="Calibri" w:cs="Calibri"/>
          <w:color w:val="auto"/>
          <w:sz w:val="22"/>
          <w:szCs w:val="22"/>
          <w:lang w:val="lv-LV"/>
        </w:rPr>
        <w:t xml:space="preserve"> </w:t>
      </w:r>
      <w:r w:rsidR="00C16879">
        <w:rPr>
          <w:rFonts w:ascii="Calibri" w:hAnsi="Calibri" w:cs="Calibri"/>
          <w:color w:val="auto"/>
          <w:sz w:val="22"/>
          <w:szCs w:val="22"/>
          <w:lang w:val="lv-LV"/>
        </w:rPr>
        <w:t>ir</w:t>
      </w:r>
      <w:r w:rsidR="000D28E2">
        <w:rPr>
          <w:rFonts w:ascii="Calibri" w:hAnsi="Calibri" w:cs="Calibri"/>
          <w:color w:val="auto"/>
          <w:sz w:val="22"/>
          <w:szCs w:val="22"/>
          <w:lang w:val="lv-LV"/>
        </w:rPr>
        <w:t xml:space="preserve"> l</w:t>
      </w:r>
      <w:r w:rsidRPr="006006BD">
        <w:rPr>
          <w:rFonts w:ascii="Calibri" w:hAnsi="Calibri" w:cs="Calibri"/>
          <w:color w:val="auto"/>
          <w:sz w:val="22"/>
          <w:szCs w:val="22"/>
          <w:lang w:val="lv-LV"/>
        </w:rPr>
        <w:t>etāl</w:t>
      </w:r>
      <w:r w:rsidR="000D28E2">
        <w:rPr>
          <w:rFonts w:ascii="Calibri" w:hAnsi="Calibri" w:cs="Calibri"/>
          <w:color w:val="auto"/>
          <w:sz w:val="22"/>
          <w:szCs w:val="22"/>
          <w:lang w:val="lv-LV"/>
        </w:rPr>
        <w:t>as</w:t>
      </w:r>
      <w:r w:rsidRPr="006006BD">
        <w:rPr>
          <w:rFonts w:ascii="Calibri" w:hAnsi="Calibri" w:cs="Calibri"/>
          <w:color w:val="auto"/>
          <w:sz w:val="22"/>
          <w:szCs w:val="22"/>
          <w:lang w:val="lv-LV"/>
        </w:rPr>
        <w:t xml:space="preserve"> </w:t>
      </w:r>
      <w:r w:rsidR="000D28E2">
        <w:rPr>
          <w:rFonts w:ascii="Calibri" w:hAnsi="Calibri" w:cs="Calibri"/>
          <w:color w:val="auto"/>
          <w:sz w:val="22"/>
          <w:szCs w:val="22"/>
          <w:lang w:val="lv-LV"/>
        </w:rPr>
        <w:t>sekas</w:t>
      </w:r>
      <w:r w:rsidRPr="006006BD">
        <w:rPr>
          <w:rFonts w:ascii="Calibri" w:hAnsi="Calibri" w:cs="Calibri"/>
          <w:color w:val="auto"/>
          <w:sz w:val="22"/>
          <w:szCs w:val="22"/>
          <w:lang w:val="lv-LV"/>
        </w:rPr>
        <w:t>. Veicot datu analīzi no 2004.gada ir secināms, ka no kopējā negadījumu skaita 55% ir ar letālām sekām, 45% cietušie gūst smagus miesas bojājumus</w:t>
      </w:r>
      <w:r w:rsidR="00B95BFA" w:rsidRPr="006006BD">
        <w:rPr>
          <w:rFonts w:ascii="Calibri" w:hAnsi="Calibri" w:cs="Calibri"/>
          <w:color w:val="auto"/>
          <w:sz w:val="22"/>
          <w:szCs w:val="22"/>
          <w:lang w:val="lv-LV"/>
        </w:rPr>
        <w:t>.</w:t>
      </w:r>
    </w:p>
    <w:p w:rsidR="003F3437" w:rsidRPr="006006BD" w:rsidRDefault="003F3437" w:rsidP="003F3437">
      <w:pPr>
        <w:spacing w:after="0" w:line="240" w:lineRule="auto"/>
        <w:ind w:firstLine="720"/>
        <w:jc w:val="right"/>
        <w:rPr>
          <w:rFonts w:ascii="Calibri" w:hAnsi="Calibri" w:cs="Calibri"/>
          <w:b/>
          <w:color w:val="auto"/>
          <w:szCs w:val="22"/>
          <w:lang w:val="lv-LV"/>
        </w:rPr>
      </w:pPr>
      <w:r w:rsidRPr="006006BD">
        <w:rPr>
          <w:rFonts w:ascii="Calibri" w:hAnsi="Calibri" w:cs="Calibri"/>
          <w:b/>
          <w:color w:val="auto"/>
          <w:szCs w:val="22"/>
          <w:lang w:val="lv-LV"/>
        </w:rPr>
        <w:t>7.tabula</w:t>
      </w:r>
      <w:r w:rsidR="00C16879">
        <w:rPr>
          <w:rFonts w:ascii="Calibri" w:hAnsi="Calibri" w:cs="Calibri"/>
          <w:b/>
          <w:color w:val="auto"/>
          <w:szCs w:val="22"/>
          <w:lang w:val="lv-LV"/>
        </w:rPr>
        <w:t>.</w:t>
      </w:r>
      <w:r w:rsidRPr="006006BD">
        <w:rPr>
          <w:rFonts w:ascii="Calibri" w:hAnsi="Calibri" w:cs="Calibri"/>
          <w:b/>
          <w:color w:val="auto"/>
          <w:szCs w:val="22"/>
          <w:lang w:val="lv-LV"/>
        </w:rPr>
        <w:t xml:space="preserve"> Datu salīdzinājums nopietniem negadījumiem un cietušajiem</w:t>
      </w:r>
    </w:p>
    <w:p w:rsidR="00E42FCE" w:rsidRPr="006006BD" w:rsidRDefault="00E86F3C" w:rsidP="003F3437">
      <w:pPr>
        <w:spacing w:after="0" w:line="240" w:lineRule="auto"/>
        <w:ind w:firstLine="720"/>
        <w:jc w:val="right"/>
        <w:rPr>
          <w:rFonts w:ascii="Calibri" w:hAnsi="Calibri" w:cs="Calibri"/>
          <w:b/>
          <w:color w:val="auto"/>
          <w:szCs w:val="22"/>
          <w:lang w:val="lv-LV"/>
        </w:rPr>
      </w:pPr>
      <w:r w:rsidRPr="006006BD">
        <w:rPr>
          <w:noProof/>
          <w:lang w:val="lv-LV" w:eastAsia="lv-LV"/>
        </w:rPr>
        <w:drawing>
          <wp:anchor distT="0" distB="0" distL="114300" distR="114300" simplePos="0" relativeHeight="251689984" behindDoc="1" locked="0" layoutInCell="1" allowOverlap="1" wp14:anchorId="48E2C42E" wp14:editId="3E8CEB22">
            <wp:simplePos x="0" y="0"/>
            <wp:positionH relativeFrom="margin">
              <wp:align>left</wp:align>
            </wp:positionH>
            <wp:positionV relativeFrom="paragraph">
              <wp:posOffset>2140585</wp:posOffset>
            </wp:positionV>
            <wp:extent cx="6229350" cy="2771775"/>
            <wp:effectExtent l="0" t="0" r="0" b="9525"/>
            <wp:wrapTight wrapText="bothSides">
              <wp:wrapPolygon edited="0">
                <wp:start x="0" y="0"/>
                <wp:lineTo x="0" y="21526"/>
                <wp:lineTo x="21534" y="21526"/>
                <wp:lineTo x="21534"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tbl>
      <w:tblPr>
        <w:tblStyle w:val="TableGrid"/>
        <w:tblW w:w="10491" w:type="dxa"/>
        <w:tblInd w:w="-426"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2836"/>
        <w:gridCol w:w="850"/>
        <w:gridCol w:w="850"/>
        <w:gridCol w:w="851"/>
        <w:gridCol w:w="850"/>
        <w:gridCol w:w="851"/>
        <w:gridCol w:w="850"/>
        <w:gridCol w:w="851"/>
        <w:gridCol w:w="850"/>
        <w:gridCol w:w="852"/>
      </w:tblGrid>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p>
        </w:tc>
        <w:tc>
          <w:tcPr>
            <w:tcW w:w="2551" w:type="dxa"/>
            <w:gridSpan w:val="3"/>
            <w:vAlign w:val="center"/>
          </w:tcPr>
          <w:p w:rsidR="00CE5CB8" w:rsidRPr="006006BD" w:rsidRDefault="00CE5CB8" w:rsidP="00313C5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Negadījumi</w:t>
            </w:r>
          </w:p>
        </w:tc>
        <w:tc>
          <w:tcPr>
            <w:tcW w:w="2551" w:type="dxa"/>
            <w:gridSpan w:val="3"/>
            <w:tcBorders>
              <w:right w:val="single" w:sz="4" w:space="0" w:color="auto"/>
            </w:tcBorders>
            <w:vAlign w:val="center"/>
          </w:tcPr>
          <w:p w:rsidR="00CE5CB8" w:rsidRPr="006006BD" w:rsidRDefault="00CE5CB8" w:rsidP="00313C5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Gājuši bojā</w:t>
            </w:r>
          </w:p>
        </w:tc>
        <w:tc>
          <w:tcPr>
            <w:tcW w:w="2553" w:type="dxa"/>
            <w:gridSpan w:val="3"/>
            <w:vAlign w:val="center"/>
          </w:tcPr>
          <w:p w:rsidR="00CE5CB8" w:rsidRPr="006006BD" w:rsidRDefault="00CE5CB8" w:rsidP="00313C5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Miesas bojājumus guvušie</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Periodi</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2004-2017</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2004-2018</w:t>
            </w:r>
          </w:p>
        </w:tc>
        <w:tc>
          <w:tcPr>
            <w:tcW w:w="851"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2004-2019</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2004-2017</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2004-2018</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2004-2019</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2004-2017</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2004-2018</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b/>
                <w:color w:val="auto"/>
                <w:sz w:val="22"/>
                <w:szCs w:val="22"/>
                <w:lang w:val="lv-LV"/>
              </w:rPr>
              <w:t>2004-2019</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Vidējais radītājs</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39,21</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37,93</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36,75</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20,85</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20,26</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19,81</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18,35</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17,66</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16,94</w:t>
            </w:r>
          </w:p>
        </w:tc>
      </w:tr>
      <w:tr w:rsidR="006C3AAF" w:rsidRPr="006006BD" w:rsidTr="005752E3">
        <w:tc>
          <w:tcPr>
            <w:tcW w:w="2836" w:type="dxa"/>
          </w:tcPr>
          <w:p w:rsidR="006C3AAF"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Tendence</w:t>
            </w:r>
          </w:p>
        </w:tc>
        <w:tc>
          <w:tcPr>
            <w:tcW w:w="2551" w:type="dxa"/>
            <w:gridSpan w:val="3"/>
          </w:tcPr>
          <w:p w:rsidR="006C3AAF" w:rsidRPr="006006BD" w:rsidRDefault="00E66C04"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Kritums</w:t>
            </w:r>
          </w:p>
        </w:tc>
        <w:tc>
          <w:tcPr>
            <w:tcW w:w="2551" w:type="dxa"/>
            <w:gridSpan w:val="3"/>
            <w:tcBorders>
              <w:right w:val="single" w:sz="4" w:space="0" w:color="auto"/>
            </w:tcBorders>
          </w:tcPr>
          <w:p w:rsidR="006C3AAF" w:rsidRPr="006006BD" w:rsidRDefault="00E66C04"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Kritums</w:t>
            </w:r>
          </w:p>
        </w:tc>
        <w:tc>
          <w:tcPr>
            <w:tcW w:w="2553" w:type="dxa"/>
            <w:gridSpan w:val="3"/>
            <w:tcBorders>
              <w:left w:val="single" w:sz="4" w:space="0" w:color="auto"/>
            </w:tcBorders>
          </w:tcPr>
          <w:p w:rsidR="006C3AAF" w:rsidRPr="006006BD" w:rsidRDefault="00E66C04"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Kritums</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Centrālā vērtība</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33</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31</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29</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17</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16</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15</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14</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Visbiežāk sastopamā vērtība</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25</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25</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25</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Zemākais rādītājs</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18</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Augstākais rādītājs</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70</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70</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70</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34</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34</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34</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42</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42</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42</w:t>
            </w:r>
          </w:p>
        </w:tc>
      </w:tr>
      <w:tr w:rsidR="00CE5CB8" w:rsidRPr="006006BD" w:rsidTr="005752E3">
        <w:tc>
          <w:tcPr>
            <w:tcW w:w="2836" w:type="dxa"/>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Kopā</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549</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569</w:t>
            </w:r>
          </w:p>
        </w:tc>
        <w:tc>
          <w:tcPr>
            <w:tcW w:w="851" w:type="dxa"/>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588</w:t>
            </w:r>
          </w:p>
        </w:tc>
        <w:tc>
          <w:tcPr>
            <w:tcW w:w="850"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292</w:t>
            </w:r>
          </w:p>
        </w:tc>
        <w:tc>
          <w:tcPr>
            <w:tcW w:w="851" w:type="dxa"/>
            <w:tcBorders>
              <w:righ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304</w:t>
            </w:r>
          </w:p>
        </w:tc>
        <w:tc>
          <w:tcPr>
            <w:tcW w:w="850" w:type="dxa"/>
            <w:tcBorders>
              <w:righ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317</w:t>
            </w:r>
          </w:p>
        </w:tc>
        <w:tc>
          <w:tcPr>
            <w:tcW w:w="851"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257</w:t>
            </w:r>
          </w:p>
        </w:tc>
        <w:tc>
          <w:tcPr>
            <w:tcW w:w="850" w:type="dxa"/>
            <w:tcBorders>
              <w:left w:val="single" w:sz="4" w:space="0" w:color="auto"/>
            </w:tcBorders>
          </w:tcPr>
          <w:p w:rsidR="00CE5CB8" w:rsidRPr="006006BD" w:rsidRDefault="00CE5CB8"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265</w:t>
            </w:r>
          </w:p>
        </w:tc>
        <w:tc>
          <w:tcPr>
            <w:tcW w:w="852" w:type="dxa"/>
            <w:tcBorders>
              <w:left w:val="single" w:sz="4" w:space="0" w:color="auto"/>
            </w:tcBorders>
          </w:tcPr>
          <w:p w:rsidR="00CE5CB8" w:rsidRPr="006006BD" w:rsidRDefault="006C3AAF" w:rsidP="00E42F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271</w:t>
            </w:r>
          </w:p>
        </w:tc>
      </w:tr>
    </w:tbl>
    <w:p w:rsidR="003F3437" w:rsidRPr="006006BD" w:rsidRDefault="003F3437" w:rsidP="00E42FCE">
      <w:pPr>
        <w:pStyle w:val="BodyText"/>
        <w:tabs>
          <w:tab w:val="left" w:pos="709"/>
        </w:tabs>
        <w:spacing w:after="0"/>
        <w:jc w:val="both"/>
        <w:rPr>
          <w:rFonts w:ascii="Calibri" w:hAnsi="Calibri" w:cs="Calibri"/>
          <w:sz w:val="22"/>
          <w:szCs w:val="22"/>
        </w:rPr>
      </w:pPr>
    </w:p>
    <w:p w:rsidR="00296D6D" w:rsidRPr="006006BD" w:rsidRDefault="003F3437" w:rsidP="003F3437">
      <w:pPr>
        <w:pStyle w:val="BodyText"/>
        <w:tabs>
          <w:tab w:val="left" w:pos="709"/>
        </w:tabs>
        <w:jc w:val="both"/>
        <w:rPr>
          <w:rFonts w:ascii="Calibri" w:hAnsi="Calibri" w:cs="Calibri"/>
          <w:sz w:val="22"/>
          <w:szCs w:val="22"/>
        </w:rPr>
      </w:pPr>
      <w:r w:rsidRPr="006006BD">
        <w:rPr>
          <w:rFonts w:ascii="Calibri" w:hAnsi="Calibri" w:cs="Calibri"/>
          <w:sz w:val="22"/>
          <w:szCs w:val="22"/>
        </w:rPr>
        <w:tab/>
        <w:t>Latvijā  vidēji uz vienu</w:t>
      </w:r>
      <w:r w:rsidR="00B95BFA" w:rsidRPr="006006BD">
        <w:rPr>
          <w:rFonts w:ascii="Calibri" w:hAnsi="Calibri" w:cs="Calibri"/>
          <w:sz w:val="22"/>
          <w:szCs w:val="22"/>
        </w:rPr>
        <w:t xml:space="preserve"> reģistrēto </w:t>
      </w:r>
      <w:r w:rsidRPr="006006BD">
        <w:rPr>
          <w:rFonts w:ascii="Calibri" w:hAnsi="Calibri" w:cs="Calibri"/>
          <w:sz w:val="22"/>
          <w:szCs w:val="22"/>
        </w:rPr>
        <w:t xml:space="preserve"> negadījumu ir viens cietušais.</w:t>
      </w:r>
    </w:p>
    <w:p w:rsidR="00B14974" w:rsidRPr="006006BD" w:rsidRDefault="00772101" w:rsidP="003F3437">
      <w:pPr>
        <w:pStyle w:val="BodyText"/>
        <w:tabs>
          <w:tab w:val="left" w:pos="709"/>
        </w:tabs>
        <w:jc w:val="both"/>
        <w:rPr>
          <w:rFonts w:ascii="Calibri" w:hAnsi="Calibri" w:cs="Calibri"/>
          <w:sz w:val="22"/>
          <w:szCs w:val="22"/>
        </w:rPr>
      </w:pPr>
      <w:r w:rsidRPr="006006BD">
        <w:rPr>
          <w:noProof/>
        </w:rPr>
        <w:lastRenderedPageBreak/>
        <w:drawing>
          <wp:anchor distT="0" distB="0" distL="114300" distR="114300" simplePos="0" relativeHeight="251670528" behindDoc="0" locked="0" layoutInCell="1" allowOverlap="1">
            <wp:simplePos x="0" y="0"/>
            <wp:positionH relativeFrom="margin">
              <wp:posOffset>116840</wp:posOffset>
            </wp:positionH>
            <wp:positionV relativeFrom="paragraph">
              <wp:posOffset>763905</wp:posOffset>
            </wp:positionV>
            <wp:extent cx="5876925" cy="2661920"/>
            <wp:effectExtent l="0" t="0" r="9525" b="508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296D6D" w:rsidRPr="006006BD">
        <w:rPr>
          <w:rFonts w:ascii="Calibri" w:hAnsi="Calibri" w:cs="Calibri"/>
          <w:sz w:val="22"/>
          <w:szCs w:val="22"/>
        </w:rPr>
        <w:tab/>
      </w:r>
      <w:r w:rsidR="003F3437" w:rsidRPr="006006BD">
        <w:rPr>
          <w:rFonts w:ascii="Calibri" w:hAnsi="Calibri" w:cs="Calibri"/>
          <w:b/>
          <w:sz w:val="22"/>
          <w:szCs w:val="22"/>
        </w:rPr>
        <w:t>201</w:t>
      </w:r>
      <w:r w:rsidR="003E03B3" w:rsidRPr="006006BD">
        <w:rPr>
          <w:rFonts w:ascii="Calibri" w:hAnsi="Calibri" w:cs="Calibri"/>
          <w:b/>
          <w:sz w:val="22"/>
          <w:szCs w:val="22"/>
        </w:rPr>
        <w:t>9</w:t>
      </w:r>
      <w:r w:rsidR="003F3437" w:rsidRPr="006006BD">
        <w:rPr>
          <w:rFonts w:ascii="Calibri" w:hAnsi="Calibri" w:cs="Calibri"/>
          <w:b/>
          <w:sz w:val="22"/>
          <w:szCs w:val="22"/>
        </w:rPr>
        <w:t xml:space="preserve">.gadā reģistrēti </w:t>
      </w:r>
      <w:r w:rsidR="003E03B3" w:rsidRPr="006006BD">
        <w:rPr>
          <w:rFonts w:ascii="Calibri" w:hAnsi="Calibri" w:cs="Calibri"/>
          <w:b/>
          <w:sz w:val="22"/>
          <w:szCs w:val="22"/>
        </w:rPr>
        <w:t>19</w:t>
      </w:r>
      <w:r w:rsidR="003F3437" w:rsidRPr="006006BD">
        <w:rPr>
          <w:rFonts w:ascii="Calibri" w:hAnsi="Calibri" w:cs="Calibri"/>
          <w:b/>
          <w:sz w:val="22"/>
          <w:szCs w:val="22"/>
        </w:rPr>
        <w:t xml:space="preserve"> nopietni negadījumi</w:t>
      </w:r>
      <w:r w:rsidR="003E03B3" w:rsidRPr="006006BD">
        <w:rPr>
          <w:rFonts w:ascii="Calibri" w:hAnsi="Calibri" w:cs="Calibri"/>
          <w:b/>
          <w:sz w:val="22"/>
          <w:szCs w:val="22"/>
        </w:rPr>
        <w:t xml:space="preserve">, </w:t>
      </w:r>
      <w:r w:rsidR="003F3437" w:rsidRPr="006006BD">
        <w:rPr>
          <w:rFonts w:ascii="Calibri" w:hAnsi="Calibri" w:cs="Calibri"/>
          <w:sz w:val="22"/>
          <w:szCs w:val="22"/>
        </w:rPr>
        <w:t>kas klasificējami kā negadījumi ar cilvēkiem ritošā sastāva kustības laikā un negadījumi uz dzelzceļa pārbrauktuvēm. Visos negadījumos bija cietušie. 201</w:t>
      </w:r>
      <w:r w:rsidR="003E03B3" w:rsidRPr="006006BD">
        <w:rPr>
          <w:rFonts w:ascii="Calibri" w:hAnsi="Calibri" w:cs="Calibri"/>
          <w:sz w:val="22"/>
          <w:szCs w:val="22"/>
        </w:rPr>
        <w:t>9</w:t>
      </w:r>
      <w:r w:rsidR="003F3437" w:rsidRPr="006006BD">
        <w:rPr>
          <w:rFonts w:ascii="Calibri" w:hAnsi="Calibri" w:cs="Calibri"/>
          <w:sz w:val="22"/>
          <w:szCs w:val="22"/>
        </w:rPr>
        <w:t>.gadā ir reģistrēts viens negadījums ar pasažieri</w:t>
      </w:r>
      <w:r w:rsidR="003E03B3" w:rsidRPr="006006BD">
        <w:rPr>
          <w:rFonts w:ascii="Calibri" w:hAnsi="Calibri" w:cs="Calibri"/>
          <w:sz w:val="22"/>
          <w:szCs w:val="22"/>
        </w:rPr>
        <w:t xml:space="preserve">, </w:t>
      </w:r>
      <w:r w:rsidR="003F3437" w:rsidRPr="006006BD">
        <w:rPr>
          <w:rFonts w:ascii="Calibri" w:hAnsi="Calibri" w:cs="Calibri"/>
          <w:sz w:val="22"/>
          <w:szCs w:val="22"/>
        </w:rPr>
        <w:t xml:space="preserve">tam </w:t>
      </w:r>
      <w:r w:rsidR="003E03B3" w:rsidRPr="006006BD">
        <w:rPr>
          <w:rFonts w:ascii="Calibri" w:hAnsi="Calibri" w:cs="Calibri"/>
          <w:sz w:val="22"/>
          <w:szCs w:val="22"/>
        </w:rPr>
        <w:t>izkrītot no vilciena alkohola reibuma stāvoklī</w:t>
      </w:r>
      <w:r w:rsidR="00B14974" w:rsidRPr="006006BD">
        <w:rPr>
          <w:rFonts w:ascii="Calibri" w:hAnsi="Calibri" w:cs="Calibri"/>
          <w:sz w:val="22"/>
          <w:szCs w:val="22"/>
        </w:rPr>
        <w:t xml:space="preserve"> un viens negadījums ar nodarbināto.</w:t>
      </w:r>
    </w:p>
    <w:p w:rsidR="001D3C27" w:rsidRPr="006006BD" w:rsidRDefault="00B14974" w:rsidP="00A47703">
      <w:pPr>
        <w:pStyle w:val="BodyText"/>
        <w:tabs>
          <w:tab w:val="left" w:pos="709"/>
        </w:tabs>
        <w:spacing w:before="240"/>
        <w:jc w:val="both"/>
        <w:rPr>
          <w:rFonts w:ascii="Calibri" w:hAnsi="Calibri" w:cs="Calibri"/>
          <w:sz w:val="22"/>
          <w:szCs w:val="22"/>
        </w:rPr>
      </w:pPr>
      <w:r w:rsidRPr="006006BD">
        <w:rPr>
          <w:rFonts w:ascii="Calibri" w:hAnsi="Calibri" w:cs="Calibri"/>
          <w:sz w:val="22"/>
          <w:szCs w:val="22"/>
        </w:rPr>
        <w:tab/>
      </w:r>
      <w:r w:rsidR="003F3437" w:rsidRPr="006006BD">
        <w:rPr>
          <w:rFonts w:ascii="Calibri" w:hAnsi="Calibri" w:cs="Calibri"/>
          <w:sz w:val="22"/>
          <w:szCs w:val="22"/>
        </w:rPr>
        <w:t xml:space="preserve">No nopietnu negadījumu kopskaita vēl joprojām lielāko negadījumu īpatsvaru (vidēji </w:t>
      </w:r>
      <w:r w:rsidR="003E03B3" w:rsidRPr="006006BD">
        <w:rPr>
          <w:rFonts w:ascii="Calibri" w:hAnsi="Calibri" w:cs="Calibri"/>
          <w:sz w:val="22"/>
          <w:szCs w:val="22"/>
        </w:rPr>
        <w:t>77,42</w:t>
      </w:r>
      <w:r w:rsidR="003F3437" w:rsidRPr="006006BD">
        <w:rPr>
          <w:rFonts w:ascii="Calibri" w:hAnsi="Calibri" w:cs="Calibri"/>
          <w:sz w:val="22"/>
          <w:szCs w:val="22"/>
        </w:rPr>
        <w:t xml:space="preserve">%) veido negadījumi ar cilvēkiem vilciena kustības laikā. Otrs lielākais īpatsvars ir negadījumiem </w:t>
      </w:r>
      <w:r w:rsidRPr="006006BD">
        <w:rPr>
          <w:rFonts w:ascii="Calibri" w:hAnsi="Calibri" w:cs="Calibri"/>
          <w:sz w:val="22"/>
          <w:szCs w:val="22"/>
        </w:rPr>
        <w:t xml:space="preserve"> kategorijā “Negadījumi uz </w:t>
      </w:r>
      <w:r w:rsidR="003F3437" w:rsidRPr="006006BD">
        <w:rPr>
          <w:rFonts w:ascii="Calibri" w:hAnsi="Calibri" w:cs="Calibri"/>
          <w:sz w:val="22"/>
          <w:szCs w:val="22"/>
        </w:rPr>
        <w:t>dzelzceļa pārbrauktuvēm</w:t>
      </w:r>
      <w:r w:rsidRPr="006006BD">
        <w:rPr>
          <w:rFonts w:ascii="Calibri" w:hAnsi="Calibri" w:cs="Calibri"/>
          <w:sz w:val="22"/>
          <w:szCs w:val="22"/>
        </w:rPr>
        <w:t>”</w:t>
      </w:r>
      <w:r w:rsidR="003F3437" w:rsidRPr="006006BD">
        <w:rPr>
          <w:rFonts w:ascii="Calibri" w:hAnsi="Calibri" w:cs="Calibri"/>
          <w:sz w:val="22"/>
          <w:szCs w:val="22"/>
        </w:rPr>
        <w:t xml:space="preserve">. </w:t>
      </w:r>
      <w:r w:rsidR="00B53435" w:rsidRPr="006006BD">
        <w:rPr>
          <w:rFonts w:ascii="Calibri" w:hAnsi="Calibri" w:cs="Calibri"/>
          <w:sz w:val="22"/>
          <w:szCs w:val="22"/>
        </w:rPr>
        <w:t>Š</w:t>
      </w:r>
      <w:r w:rsidR="003F3437" w:rsidRPr="006006BD">
        <w:rPr>
          <w:rFonts w:ascii="Calibri" w:hAnsi="Calibri" w:cs="Calibri"/>
          <w:sz w:val="22"/>
          <w:szCs w:val="22"/>
        </w:rPr>
        <w:t>ajos negadījumos  lielāko īpatsvaru (</w:t>
      </w:r>
      <w:r w:rsidR="00B53435" w:rsidRPr="006006BD">
        <w:rPr>
          <w:rFonts w:ascii="Calibri" w:hAnsi="Calibri" w:cs="Calibri"/>
          <w:sz w:val="22"/>
          <w:szCs w:val="22"/>
        </w:rPr>
        <w:t>88</w:t>
      </w:r>
      <w:r w:rsidR="003F3437" w:rsidRPr="006006BD">
        <w:rPr>
          <w:rFonts w:ascii="Calibri" w:hAnsi="Calibri" w:cs="Calibri"/>
          <w:sz w:val="22"/>
          <w:szCs w:val="22"/>
        </w:rPr>
        <w:t>,98</w:t>
      </w:r>
      <w:r w:rsidR="003E03B3" w:rsidRPr="006006BD">
        <w:rPr>
          <w:rFonts w:ascii="Calibri" w:hAnsi="Calibri" w:cs="Calibri"/>
          <w:sz w:val="22"/>
          <w:szCs w:val="22"/>
        </w:rPr>
        <w:t>%</w:t>
      </w:r>
      <w:r w:rsidR="003F3437" w:rsidRPr="006006BD">
        <w:rPr>
          <w:rFonts w:ascii="Calibri" w:hAnsi="Calibri" w:cs="Calibri"/>
          <w:sz w:val="22"/>
          <w:szCs w:val="22"/>
        </w:rPr>
        <w:t xml:space="preserve">) veido nevis sadursmes uz autotransportu, bet gan gadījumi </w:t>
      </w:r>
      <w:r w:rsidR="00A47703" w:rsidRPr="006006BD">
        <w:rPr>
          <w:rFonts w:ascii="Calibri" w:hAnsi="Calibri" w:cs="Calibri"/>
          <w:sz w:val="22"/>
          <w:szCs w:val="22"/>
        </w:rPr>
        <w:t>ar personu</w:t>
      </w:r>
      <w:r w:rsidR="003F3437" w:rsidRPr="006006BD">
        <w:rPr>
          <w:rFonts w:ascii="Calibri" w:hAnsi="Calibri" w:cs="Calibri"/>
          <w:sz w:val="22"/>
          <w:szCs w:val="22"/>
        </w:rPr>
        <w:t>, kad tā ir šķērsojusi dzelzceļa pārbrauktuvi</w:t>
      </w:r>
      <w:r w:rsidR="00A47703" w:rsidRPr="006006BD">
        <w:rPr>
          <w:rFonts w:ascii="Calibri" w:hAnsi="Calibri" w:cs="Calibri"/>
          <w:sz w:val="22"/>
          <w:szCs w:val="22"/>
        </w:rPr>
        <w:t xml:space="preserve"> neievērojot drošības prasības</w:t>
      </w:r>
      <w:r w:rsidR="003F3437" w:rsidRPr="006006BD">
        <w:rPr>
          <w:rFonts w:ascii="Calibri" w:hAnsi="Calibri" w:cs="Calibri"/>
          <w:sz w:val="22"/>
          <w:szCs w:val="22"/>
        </w:rPr>
        <w:t xml:space="preserve">. Sadursmju ar transportlīdzekļiem gadījumu skaits no 2009.gada būtiski samazinājies, vidēji sasniedzot trīs sadursmes gadā, kas ir tikai 7,7% no kopējā negadījumu uz dzelzceļa pārbrauktuvēm skaita.  Personas, kuras šķērsojot sliežu ceļus nav ievērojušas drošības prasības (gājēji, velosipēdisti), </w:t>
      </w:r>
      <w:r w:rsidR="002F3E62">
        <w:rPr>
          <w:rFonts w:ascii="Calibri" w:hAnsi="Calibri" w:cs="Calibri"/>
          <w:sz w:val="22"/>
          <w:szCs w:val="22"/>
        </w:rPr>
        <w:t>veido 71% no kopējā</w:t>
      </w:r>
      <w:r w:rsidR="003F3437" w:rsidRPr="006006BD">
        <w:rPr>
          <w:rFonts w:ascii="Calibri" w:hAnsi="Calibri" w:cs="Calibri"/>
          <w:sz w:val="22"/>
          <w:szCs w:val="22"/>
        </w:rPr>
        <w:t xml:space="preserve"> </w:t>
      </w:r>
      <w:r w:rsidR="00007D07" w:rsidRPr="006006BD">
        <w:rPr>
          <w:rFonts w:ascii="Calibri" w:hAnsi="Calibri" w:cs="Calibri"/>
          <w:sz w:val="22"/>
          <w:szCs w:val="22"/>
        </w:rPr>
        <w:t>negadījum</w:t>
      </w:r>
      <w:r w:rsidR="002F3E62">
        <w:rPr>
          <w:rFonts w:ascii="Calibri" w:hAnsi="Calibri" w:cs="Calibri"/>
          <w:sz w:val="22"/>
          <w:szCs w:val="22"/>
        </w:rPr>
        <w:t>u skaita</w:t>
      </w:r>
      <w:r w:rsidR="003F3437" w:rsidRPr="006006BD">
        <w:rPr>
          <w:rFonts w:ascii="Calibri" w:hAnsi="Calibri" w:cs="Calibri"/>
          <w:sz w:val="22"/>
          <w:szCs w:val="22"/>
        </w:rPr>
        <w:t xml:space="preserve"> uz dzelzceļa pārbrauktuvēm.</w:t>
      </w:r>
      <w:r w:rsidR="00772101" w:rsidRPr="006006BD">
        <w:rPr>
          <w:rFonts w:ascii="Calibri" w:hAnsi="Calibri" w:cs="Calibri"/>
          <w:sz w:val="22"/>
          <w:szCs w:val="22"/>
        </w:rPr>
        <w:t xml:space="preserve"> 2019.gadā </w:t>
      </w:r>
      <w:r w:rsidR="00371ED2" w:rsidRPr="006006BD">
        <w:rPr>
          <w:rFonts w:ascii="Calibri" w:hAnsi="Calibri" w:cs="Calibri"/>
          <w:sz w:val="22"/>
          <w:szCs w:val="22"/>
        </w:rPr>
        <w:t xml:space="preserve">uz dzelzceļa pārbrauktuves </w:t>
      </w:r>
      <w:r w:rsidR="00772101" w:rsidRPr="006006BD">
        <w:rPr>
          <w:rFonts w:ascii="Calibri" w:hAnsi="Calibri" w:cs="Calibri"/>
          <w:sz w:val="22"/>
          <w:szCs w:val="22"/>
        </w:rPr>
        <w:t xml:space="preserve">nav reģistrēta neviena sadursme </w:t>
      </w:r>
      <w:r w:rsidR="00371ED2" w:rsidRPr="006006BD">
        <w:rPr>
          <w:rFonts w:ascii="Calibri" w:hAnsi="Calibri" w:cs="Calibri"/>
          <w:sz w:val="22"/>
          <w:szCs w:val="22"/>
        </w:rPr>
        <w:t>ar autotransport</w:t>
      </w:r>
      <w:r w:rsidR="002F3E62">
        <w:rPr>
          <w:rFonts w:ascii="Calibri" w:hAnsi="Calibri" w:cs="Calibri"/>
          <w:sz w:val="22"/>
          <w:szCs w:val="22"/>
        </w:rPr>
        <w:t xml:space="preserve">a </w:t>
      </w:r>
      <w:r w:rsidR="00371ED2" w:rsidRPr="006006BD">
        <w:rPr>
          <w:rFonts w:ascii="Calibri" w:hAnsi="Calibri" w:cs="Calibri"/>
          <w:sz w:val="22"/>
          <w:szCs w:val="22"/>
        </w:rPr>
        <w:t xml:space="preserve">līdzekli </w:t>
      </w:r>
      <w:r w:rsidR="00772101" w:rsidRPr="006006BD">
        <w:rPr>
          <w:rFonts w:ascii="Calibri" w:hAnsi="Calibri" w:cs="Calibri"/>
          <w:sz w:val="22"/>
          <w:szCs w:val="22"/>
        </w:rPr>
        <w:t xml:space="preserve">ar nopietnām sekām. </w:t>
      </w:r>
      <w:r w:rsidR="00007D07" w:rsidRPr="006006BD">
        <w:rPr>
          <w:rFonts w:ascii="Calibri" w:hAnsi="Calibri" w:cs="Calibri"/>
          <w:sz w:val="22"/>
          <w:szCs w:val="22"/>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AA5EAB" w:rsidRPr="00FF6BC6" w:rsidTr="008B66C9">
        <w:tc>
          <w:tcPr>
            <w:tcW w:w="421" w:type="dxa"/>
            <w:shd w:val="clear" w:color="auto" w:fill="D9D9D9" w:themeFill="background1" w:themeFillShade="D9"/>
          </w:tcPr>
          <w:p w:rsidR="00AA5EAB" w:rsidRPr="006006BD" w:rsidRDefault="000145ED" w:rsidP="008B66C9">
            <w:pPr>
              <w:spacing w:after="0" w:line="240" w:lineRule="auto"/>
              <w:jc w:val="both"/>
              <w:rPr>
                <w:rFonts w:cstheme="minorHAnsi"/>
                <w:b/>
                <w:bCs/>
                <w:color w:val="auto"/>
                <w:sz w:val="22"/>
                <w:szCs w:val="22"/>
                <w:lang w:val="lv-LV"/>
              </w:rPr>
            </w:pPr>
            <w:r w:rsidRPr="006006BD">
              <w:rPr>
                <w:rFonts w:cstheme="minorHAnsi"/>
                <w:b/>
                <w:bCs/>
                <w:color w:val="FF0000"/>
                <w:sz w:val="44"/>
                <w:szCs w:val="22"/>
                <w:lang w:val="lv-LV"/>
              </w:rPr>
              <w:t>!</w:t>
            </w:r>
          </w:p>
        </w:tc>
        <w:tc>
          <w:tcPr>
            <w:tcW w:w="9218" w:type="dxa"/>
            <w:shd w:val="clear" w:color="auto" w:fill="D9D9D9" w:themeFill="background1" w:themeFillShade="D9"/>
            <w:vAlign w:val="center"/>
          </w:tcPr>
          <w:p w:rsidR="00AA5EAB" w:rsidRPr="00B75841" w:rsidRDefault="00AA5EAB" w:rsidP="002F3E62">
            <w:pPr>
              <w:pStyle w:val="BodyText"/>
              <w:tabs>
                <w:tab w:val="left" w:pos="709"/>
              </w:tabs>
              <w:jc w:val="both"/>
              <w:rPr>
                <w:rFonts w:cstheme="minorHAnsi"/>
                <w:b/>
                <w:bCs/>
                <w:sz w:val="22"/>
                <w:szCs w:val="22"/>
              </w:rPr>
            </w:pPr>
            <w:r w:rsidRPr="00B75841">
              <w:rPr>
                <w:rFonts w:ascii="Calibri" w:hAnsi="Calibri" w:cs="Calibri"/>
                <w:b/>
                <w:sz w:val="22"/>
                <w:szCs w:val="22"/>
              </w:rPr>
              <w:t>Salīdzinoši mazs īpatsvars ir t.s. “tiešiem dzelzceļa satiksmes negadījumiem” - sadursmēm ar vilcieniem, nobraukšanai no sliedēm un ritoš</w:t>
            </w:r>
            <w:r w:rsidR="002F3E62" w:rsidRPr="00B75841">
              <w:rPr>
                <w:rFonts w:ascii="Calibri" w:hAnsi="Calibri" w:cs="Calibri"/>
                <w:b/>
                <w:sz w:val="22"/>
                <w:szCs w:val="22"/>
              </w:rPr>
              <w:t>ā sastāva ugunsgrēkiem. Lielai daļai negadījumu izraisošie faktori ir</w:t>
            </w:r>
            <w:r w:rsidRPr="00B75841">
              <w:rPr>
                <w:rFonts w:ascii="Calibri" w:hAnsi="Calibri" w:cs="Calibri"/>
                <w:b/>
                <w:sz w:val="22"/>
                <w:szCs w:val="22"/>
              </w:rPr>
              <w:t xml:space="preserve"> “ārējie un sociālie faktori” – cilvēku uzvedība, dro</w:t>
            </w:r>
            <w:r w:rsidR="00371ED2" w:rsidRPr="00B75841">
              <w:rPr>
                <w:rFonts w:ascii="Calibri" w:hAnsi="Calibri" w:cs="Calibri"/>
                <w:b/>
                <w:sz w:val="22"/>
                <w:szCs w:val="22"/>
              </w:rPr>
              <w:t>šības prasību ignorēšana, u.t.m.l</w:t>
            </w:r>
            <w:r w:rsidRPr="00B75841">
              <w:rPr>
                <w:rFonts w:ascii="Calibri" w:hAnsi="Calibri" w:cs="Calibri"/>
                <w:b/>
                <w:sz w:val="22"/>
                <w:szCs w:val="22"/>
              </w:rPr>
              <w:t xml:space="preserve">. </w:t>
            </w:r>
          </w:p>
        </w:tc>
      </w:tr>
    </w:tbl>
    <w:p w:rsidR="001D3C27" w:rsidRPr="006006BD" w:rsidRDefault="009F1218" w:rsidP="009F1218">
      <w:pPr>
        <w:pStyle w:val="BodyText"/>
        <w:tabs>
          <w:tab w:val="left" w:pos="709"/>
        </w:tabs>
        <w:spacing w:before="120"/>
        <w:rPr>
          <w:rFonts w:ascii="Calibri" w:hAnsi="Calibri" w:cs="Calibri"/>
          <w:sz w:val="22"/>
          <w:szCs w:val="22"/>
        </w:rPr>
      </w:pPr>
      <w:r w:rsidRPr="006006BD">
        <w:rPr>
          <w:noProof/>
        </w:rPr>
        <w:drawing>
          <wp:inline distT="0" distB="0" distL="0" distR="0" wp14:anchorId="4D49BDEC" wp14:editId="1C03EE5D">
            <wp:extent cx="6120130" cy="2621280"/>
            <wp:effectExtent l="0" t="0" r="1397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D3C27" w:rsidRPr="006006BD" w:rsidRDefault="001D3C27" w:rsidP="00FD27E5">
      <w:pPr>
        <w:pStyle w:val="BodyText"/>
        <w:tabs>
          <w:tab w:val="left" w:pos="709"/>
        </w:tabs>
        <w:spacing w:before="120"/>
        <w:ind w:firstLine="709"/>
        <w:jc w:val="both"/>
        <w:rPr>
          <w:rFonts w:ascii="Calibri" w:hAnsi="Calibri" w:cs="Calibri"/>
          <w:sz w:val="22"/>
          <w:szCs w:val="22"/>
        </w:rPr>
      </w:pPr>
      <w:r w:rsidRPr="006006BD">
        <w:rPr>
          <w:rFonts w:ascii="Calibri" w:hAnsi="Calibri" w:cs="Calibri"/>
          <w:sz w:val="22"/>
          <w:szCs w:val="22"/>
        </w:rPr>
        <w:t xml:space="preserve">Sociālie  un demogrāfiskie faktori, kas ietekmē </w:t>
      </w:r>
      <w:r w:rsidR="00FD27E5" w:rsidRPr="006006BD">
        <w:rPr>
          <w:rFonts w:ascii="Calibri" w:hAnsi="Calibri" w:cs="Calibri"/>
          <w:sz w:val="22"/>
          <w:szCs w:val="22"/>
        </w:rPr>
        <w:t xml:space="preserve"> t.s. “ārējo” dzelzceļa satiksmes negadījumu </w:t>
      </w:r>
      <w:r w:rsidRPr="006006BD">
        <w:rPr>
          <w:rFonts w:ascii="Calibri" w:hAnsi="Calibri" w:cs="Calibri"/>
          <w:sz w:val="22"/>
          <w:szCs w:val="22"/>
        </w:rPr>
        <w:t>rezultātus:</w:t>
      </w:r>
    </w:p>
    <w:p w:rsidR="001D3C27" w:rsidRPr="006006BD" w:rsidRDefault="001D3C27" w:rsidP="001D3C27">
      <w:pPr>
        <w:pStyle w:val="ListParagraph"/>
        <w:numPr>
          <w:ilvl w:val="0"/>
          <w:numId w:val="4"/>
        </w:numPr>
        <w:jc w:val="both"/>
        <w:rPr>
          <w:rFonts w:ascii="Calibri" w:hAnsi="Calibri" w:cs="Calibri"/>
          <w:sz w:val="22"/>
          <w:szCs w:val="22"/>
        </w:rPr>
      </w:pPr>
      <w:r w:rsidRPr="006006BD">
        <w:rPr>
          <w:rFonts w:ascii="Calibri" w:hAnsi="Calibri" w:cs="Calibri"/>
          <w:b/>
          <w:sz w:val="22"/>
          <w:szCs w:val="22"/>
        </w:rPr>
        <w:lastRenderedPageBreak/>
        <w:t>dzimums</w:t>
      </w:r>
      <w:r w:rsidR="000D28E2">
        <w:rPr>
          <w:rFonts w:ascii="Calibri" w:hAnsi="Calibri" w:cs="Calibri"/>
          <w:sz w:val="22"/>
          <w:szCs w:val="22"/>
        </w:rPr>
        <w:t xml:space="preserve"> – </w:t>
      </w:r>
      <w:r w:rsidRPr="006006BD">
        <w:rPr>
          <w:rFonts w:ascii="Calibri" w:hAnsi="Calibri" w:cs="Calibri"/>
          <w:sz w:val="22"/>
          <w:szCs w:val="22"/>
        </w:rPr>
        <w:t xml:space="preserve">negadījumos cieš </w:t>
      </w:r>
      <w:r w:rsidR="000D28E2">
        <w:rPr>
          <w:rFonts w:ascii="Calibri" w:hAnsi="Calibri" w:cs="Calibri"/>
          <w:sz w:val="22"/>
          <w:szCs w:val="22"/>
        </w:rPr>
        <w:t xml:space="preserve">pārsvarā </w:t>
      </w:r>
      <w:r w:rsidRPr="006006BD">
        <w:rPr>
          <w:rFonts w:ascii="Calibri" w:hAnsi="Calibri" w:cs="Calibri"/>
          <w:i/>
          <w:sz w:val="22"/>
          <w:szCs w:val="22"/>
        </w:rPr>
        <w:t>vīrieši</w:t>
      </w:r>
      <w:r w:rsidRPr="006006BD">
        <w:rPr>
          <w:rFonts w:ascii="Calibri" w:hAnsi="Calibri" w:cs="Calibri"/>
          <w:sz w:val="22"/>
          <w:szCs w:val="22"/>
        </w:rPr>
        <w:t xml:space="preserve">. </w:t>
      </w:r>
      <w:r w:rsidR="00DE3E5D">
        <w:rPr>
          <w:rFonts w:ascii="Calibri" w:hAnsi="Calibri" w:cs="Calibri"/>
          <w:sz w:val="22"/>
          <w:szCs w:val="22"/>
        </w:rPr>
        <w:t>2019.gadā 89% gadījumos cietušie</w:t>
      </w:r>
      <w:r w:rsidR="008B66C9" w:rsidRPr="006006BD">
        <w:rPr>
          <w:rFonts w:ascii="Calibri" w:hAnsi="Calibri" w:cs="Calibri"/>
          <w:sz w:val="22"/>
          <w:szCs w:val="22"/>
        </w:rPr>
        <w:t xml:space="preserve"> bija vīrieši;</w:t>
      </w:r>
      <w:r w:rsidRPr="006006BD">
        <w:rPr>
          <w:rFonts w:ascii="Calibri" w:hAnsi="Calibri" w:cs="Calibri"/>
          <w:sz w:val="22"/>
          <w:szCs w:val="22"/>
        </w:rPr>
        <w:t xml:space="preserve"> </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vecums</w:t>
      </w:r>
      <w:r w:rsidRPr="006006BD">
        <w:rPr>
          <w:rFonts w:ascii="Calibri" w:hAnsi="Calibri" w:cs="Calibri"/>
          <w:sz w:val="22"/>
          <w:szCs w:val="22"/>
        </w:rPr>
        <w:t xml:space="preserve"> – tiek traumētas personas darbspējīgā vecumā. </w:t>
      </w:r>
      <w:r w:rsidRPr="006006BD">
        <w:rPr>
          <w:rFonts w:ascii="Calibri" w:hAnsi="Calibri" w:cs="Calibri"/>
          <w:i/>
          <w:sz w:val="22"/>
          <w:szCs w:val="22"/>
        </w:rPr>
        <w:t xml:space="preserve">28% gadījumos </w:t>
      </w:r>
      <w:r w:rsidR="00A61D97" w:rsidRPr="006006BD">
        <w:rPr>
          <w:rFonts w:ascii="Calibri" w:hAnsi="Calibri" w:cs="Calibri"/>
          <w:i/>
          <w:sz w:val="22"/>
          <w:szCs w:val="22"/>
        </w:rPr>
        <w:t xml:space="preserve"> ir </w:t>
      </w:r>
      <w:r w:rsidRPr="006006BD">
        <w:rPr>
          <w:rFonts w:ascii="Calibri" w:hAnsi="Calibri" w:cs="Calibri"/>
          <w:i/>
          <w:sz w:val="22"/>
          <w:szCs w:val="22"/>
        </w:rPr>
        <w:t>personas vecumā no 41-60 gadiem un pārsvarā vīrieši</w:t>
      </w:r>
      <w:r w:rsidRPr="006006BD">
        <w:rPr>
          <w:rFonts w:ascii="Calibri" w:hAnsi="Calibri" w:cs="Calibri"/>
          <w:sz w:val="22"/>
          <w:szCs w:val="22"/>
        </w:rPr>
        <w:t xml:space="preserve">. </w:t>
      </w:r>
      <w:r w:rsidR="00A61D97" w:rsidRPr="006006BD">
        <w:rPr>
          <w:rFonts w:ascii="Calibri" w:hAnsi="Calibri" w:cs="Calibri"/>
          <w:sz w:val="22"/>
          <w:szCs w:val="22"/>
        </w:rPr>
        <w:t xml:space="preserve"> Ir pieaudzis cietušo skaits vecuma kategorijā no 21-30 gadiem. Šajā kategorijā daudz cietušo ir lietojuši austiņas šķērsojot sliežu ceļus.  </w:t>
      </w:r>
      <w:r w:rsidR="004411EB">
        <w:rPr>
          <w:rFonts w:ascii="Calibri" w:hAnsi="Calibri" w:cs="Calibri"/>
          <w:sz w:val="22"/>
          <w:szCs w:val="22"/>
        </w:rPr>
        <w:t>3% no kopējā</w:t>
      </w:r>
      <w:r w:rsidRPr="006006BD">
        <w:rPr>
          <w:rFonts w:ascii="Calibri" w:hAnsi="Calibri" w:cs="Calibri"/>
          <w:sz w:val="22"/>
          <w:szCs w:val="22"/>
        </w:rPr>
        <w:t xml:space="preserve"> negadījum</w:t>
      </w:r>
      <w:r w:rsidR="004411EB">
        <w:rPr>
          <w:rFonts w:ascii="Calibri" w:hAnsi="Calibri" w:cs="Calibri"/>
          <w:sz w:val="22"/>
          <w:szCs w:val="22"/>
        </w:rPr>
        <w:t>u</w:t>
      </w:r>
      <w:r w:rsidRPr="006006BD">
        <w:rPr>
          <w:rFonts w:ascii="Calibri" w:hAnsi="Calibri" w:cs="Calibri"/>
          <w:sz w:val="22"/>
          <w:szCs w:val="22"/>
        </w:rPr>
        <w:t xml:space="preserve"> skaita ir cietuši bērni vecumā līdz 10 gadiem. Pieaugums vērojams pēdējos gados, kas saistām</w:t>
      </w:r>
      <w:r w:rsidR="00CE40EF">
        <w:rPr>
          <w:rFonts w:ascii="Calibri" w:hAnsi="Calibri" w:cs="Calibri"/>
          <w:sz w:val="22"/>
          <w:szCs w:val="22"/>
        </w:rPr>
        <w:t>s</w:t>
      </w:r>
      <w:r w:rsidRPr="006006BD">
        <w:rPr>
          <w:rFonts w:ascii="Calibri" w:hAnsi="Calibri" w:cs="Calibri"/>
          <w:sz w:val="22"/>
          <w:szCs w:val="22"/>
        </w:rPr>
        <w:t xml:space="preserve"> ir IKT risinājumu pieaugumu – austiņas, mobilās aplikācijas, u.c.</w:t>
      </w:r>
      <w:r w:rsidR="000D28E2">
        <w:rPr>
          <w:rFonts w:ascii="Calibri" w:hAnsi="Calibri" w:cs="Calibri"/>
          <w:sz w:val="22"/>
          <w:szCs w:val="22"/>
        </w:rPr>
        <w:t xml:space="preserve"> ierīces</w:t>
      </w:r>
      <w:r w:rsidR="00CE40EF">
        <w:rPr>
          <w:rFonts w:ascii="Calibri" w:hAnsi="Calibri" w:cs="Calibri"/>
          <w:sz w:val="22"/>
          <w:szCs w:val="22"/>
        </w:rPr>
        <w:t xml:space="preserve">, kas novērš </w:t>
      </w:r>
      <w:r w:rsidR="000D28E2">
        <w:rPr>
          <w:rFonts w:ascii="Calibri" w:hAnsi="Calibri" w:cs="Calibri"/>
          <w:sz w:val="22"/>
          <w:szCs w:val="22"/>
        </w:rPr>
        <w:t xml:space="preserve">cilvēka </w:t>
      </w:r>
      <w:r w:rsidR="00CE40EF">
        <w:rPr>
          <w:rFonts w:ascii="Calibri" w:hAnsi="Calibri" w:cs="Calibri"/>
          <w:sz w:val="22"/>
          <w:szCs w:val="22"/>
        </w:rPr>
        <w:t>uzmanību</w:t>
      </w:r>
      <w:r w:rsidR="000D28E2">
        <w:rPr>
          <w:rFonts w:ascii="Calibri" w:hAnsi="Calibri" w:cs="Calibri"/>
          <w:sz w:val="22"/>
          <w:szCs w:val="22"/>
        </w:rPr>
        <w:t xml:space="preserve"> no satiksmes apstākļiem</w:t>
      </w:r>
      <w:r w:rsidR="00CE40EF">
        <w:rPr>
          <w:rFonts w:ascii="Calibri" w:hAnsi="Calibri" w:cs="Calibri"/>
          <w:sz w:val="22"/>
          <w:szCs w:val="22"/>
        </w:rPr>
        <w:t>.</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drošības kultūras ievērošana</w:t>
      </w:r>
      <w:r w:rsidR="00A61D97" w:rsidRPr="006006BD">
        <w:rPr>
          <w:rFonts w:ascii="Calibri" w:hAnsi="Calibri" w:cs="Calibri"/>
          <w:sz w:val="22"/>
          <w:szCs w:val="22"/>
        </w:rPr>
        <w:t xml:space="preserve"> –  33</w:t>
      </w:r>
      <w:r w:rsidRPr="006006BD">
        <w:rPr>
          <w:rFonts w:ascii="Calibri" w:hAnsi="Calibri" w:cs="Calibri"/>
          <w:sz w:val="22"/>
          <w:szCs w:val="22"/>
        </w:rPr>
        <w:t xml:space="preserve"> % no cietušajām personām ir lietojušas alkoholu (gulēšana uz platformām vai sliedēm), austiņu lietošana šķērsojot pārejas vai pārbrauktuves, izskriešana pirms braucoša vilciena, u.c. Īsziņu rakstīšana, mūzikas klausīšanās austiņās, runāšana pa telefonu ir ietekmējusi cietušo personu pieaugumu uz platformām.</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kritiskā domāšana</w:t>
      </w:r>
      <w:r w:rsidRPr="006006BD">
        <w:rPr>
          <w:rFonts w:ascii="Calibri" w:hAnsi="Calibri" w:cs="Calibri"/>
          <w:sz w:val="22"/>
          <w:szCs w:val="22"/>
        </w:rPr>
        <w:t xml:space="preserve"> - iedzīvotāji šķērsojot sliežu ceļus nenovērtē iespējamos riskus, kam par iemeslu var būt ikdienas rutīna, laika neaprēķināšana, u.t.t.</w:t>
      </w:r>
    </w:p>
    <w:p w:rsidR="001D3C27" w:rsidRPr="006006BD" w:rsidRDefault="001D3C27" w:rsidP="001D3C27">
      <w:pPr>
        <w:pStyle w:val="ListParagraph"/>
        <w:numPr>
          <w:ilvl w:val="0"/>
          <w:numId w:val="4"/>
        </w:numPr>
        <w:tabs>
          <w:tab w:val="left" w:pos="1134"/>
        </w:tabs>
        <w:ind w:left="0" w:firstLine="720"/>
        <w:jc w:val="both"/>
        <w:rPr>
          <w:rFonts w:ascii="Calibri" w:hAnsi="Calibri" w:cs="Calibri"/>
          <w:sz w:val="22"/>
          <w:szCs w:val="22"/>
        </w:rPr>
      </w:pPr>
      <w:r w:rsidRPr="006006BD">
        <w:rPr>
          <w:rFonts w:ascii="Calibri" w:hAnsi="Calibri" w:cs="Calibri"/>
          <w:b/>
          <w:sz w:val="22"/>
          <w:szCs w:val="22"/>
        </w:rPr>
        <w:t xml:space="preserve">pašnāvības </w:t>
      </w:r>
      <w:r w:rsidRPr="006006BD">
        <w:rPr>
          <w:rFonts w:ascii="Calibri" w:hAnsi="Calibri" w:cs="Calibri"/>
          <w:sz w:val="22"/>
          <w:szCs w:val="22"/>
        </w:rPr>
        <w:t xml:space="preserve">– no kopējo negadījumu skaita tās sastāda </w:t>
      </w:r>
      <w:r w:rsidR="00A61D97" w:rsidRPr="006006BD">
        <w:rPr>
          <w:rFonts w:ascii="Calibri" w:hAnsi="Calibri" w:cs="Calibri"/>
          <w:sz w:val="22"/>
          <w:szCs w:val="22"/>
        </w:rPr>
        <w:t>18</w:t>
      </w:r>
      <w:r w:rsidRPr="006006BD">
        <w:rPr>
          <w:rFonts w:ascii="Calibri" w:hAnsi="Calibri" w:cs="Calibri"/>
          <w:sz w:val="22"/>
          <w:szCs w:val="22"/>
        </w:rPr>
        <w:t>%. Pašnāvību skaits gadu no gada sv</w:t>
      </w:r>
      <w:r w:rsidR="000D28E2">
        <w:rPr>
          <w:rFonts w:ascii="Calibri" w:hAnsi="Calibri" w:cs="Calibri"/>
          <w:sz w:val="22"/>
          <w:szCs w:val="22"/>
        </w:rPr>
        <w:t>ārstās. Pašnāvību gadījumi visvai</w:t>
      </w:r>
      <w:r w:rsidRPr="006006BD">
        <w:rPr>
          <w:rFonts w:ascii="Calibri" w:hAnsi="Calibri" w:cs="Calibri"/>
          <w:sz w:val="22"/>
          <w:szCs w:val="22"/>
        </w:rPr>
        <w:t>rāk reģistrēti ar personām vecumā no 20 līdz 35 g</w:t>
      </w:r>
      <w:r w:rsidR="00CE40EF">
        <w:rPr>
          <w:rFonts w:ascii="Calibri" w:hAnsi="Calibri" w:cs="Calibri"/>
          <w:sz w:val="22"/>
          <w:szCs w:val="22"/>
        </w:rPr>
        <w:t>adiem. Demogrāfiskie dati liecina</w:t>
      </w:r>
      <w:r w:rsidRPr="006006BD">
        <w:rPr>
          <w:rFonts w:ascii="Calibri" w:hAnsi="Calibri" w:cs="Calibri"/>
          <w:sz w:val="22"/>
          <w:szCs w:val="22"/>
        </w:rPr>
        <w:t>, ka 68% gadījumos pašnāvības veic vīrieši.</w:t>
      </w:r>
    </w:p>
    <w:p w:rsidR="001D3C27" w:rsidRPr="006006BD" w:rsidRDefault="001D3C27" w:rsidP="001D3C27">
      <w:pPr>
        <w:spacing w:before="120" w:after="0" w:line="240" w:lineRule="auto"/>
        <w:ind w:firstLine="720"/>
        <w:jc w:val="both"/>
        <w:rPr>
          <w:rFonts w:ascii="Calibri" w:hAnsi="Calibri" w:cs="Calibri"/>
          <w:color w:val="auto"/>
          <w:sz w:val="22"/>
          <w:szCs w:val="22"/>
          <w:lang w:val="lv-LV"/>
        </w:rPr>
      </w:pPr>
      <w:r w:rsidRPr="006006BD">
        <w:rPr>
          <w:rFonts w:ascii="Calibri" w:hAnsi="Calibri" w:cs="Calibri"/>
          <w:b/>
          <w:color w:val="auto"/>
          <w:sz w:val="22"/>
          <w:szCs w:val="22"/>
          <w:lang w:val="lv-LV"/>
        </w:rPr>
        <w:t>Ekonomiskie faktori, kas ietekmē negadījumu rezultātus</w:t>
      </w:r>
      <w:r w:rsidRPr="006006BD">
        <w:rPr>
          <w:rFonts w:ascii="Calibri" w:hAnsi="Calibri" w:cs="Calibri"/>
          <w:color w:val="auto"/>
          <w:sz w:val="22"/>
          <w:szCs w:val="22"/>
          <w:lang w:val="lv-LV"/>
        </w:rPr>
        <w:t>:</w:t>
      </w:r>
    </w:p>
    <w:p w:rsidR="001D3C27" w:rsidRPr="006006BD" w:rsidRDefault="001D3C27" w:rsidP="001D3C27">
      <w:pPr>
        <w:pStyle w:val="ListParagraph"/>
        <w:numPr>
          <w:ilvl w:val="0"/>
          <w:numId w:val="4"/>
        </w:numPr>
        <w:jc w:val="both"/>
        <w:rPr>
          <w:rFonts w:ascii="Calibri" w:hAnsi="Calibri" w:cs="Calibri"/>
          <w:sz w:val="22"/>
          <w:szCs w:val="22"/>
        </w:rPr>
      </w:pPr>
      <w:r w:rsidRPr="006006BD">
        <w:rPr>
          <w:rFonts w:ascii="Calibri" w:hAnsi="Calibri" w:cs="Calibri"/>
          <w:b/>
          <w:sz w:val="22"/>
          <w:szCs w:val="22"/>
        </w:rPr>
        <w:t>finansējums</w:t>
      </w:r>
      <w:r w:rsidRPr="006006BD">
        <w:rPr>
          <w:rFonts w:ascii="Calibri" w:hAnsi="Calibri" w:cs="Calibri"/>
          <w:sz w:val="22"/>
          <w:szCs w:val="22"/>
        </w:rPr>
        <w:t xml:space="preserve"> – nepietiekams finansējuma apjoms nožogojumu uzstādīšanai, </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būvobjektu modernizācija</w:t>
      </w:r>
      <w:r w:rsidRPr="006006BD">
        <w:rPr>
          <w:rFonts w:ascii="Calibri" w:hAnsi="Calibri" w:cs="Calibri"/>
          <w:sz w:val="22"/>
          <w:szCs w:val="22"/>
        </w:rPr>
        <w:t xml:space="preserve"> – nepieciešamība papildus pārdomāt drošības prasības, kas ne vienmēr tiek nodrošināts izstrādājot projektus;</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 xml:space="preserve">drošības mērķu noteikšana – </w:t>
      </w:r>
      <w:r w:rsidRPr="006006BD">
        <w:rPr>
          <w:rFonts w:ascii="Calibri" w:hAnsi="Calibri" w:cs="Calibri"/>
          <w:sz w:val="22"/>
          <w:szCs w:val="22"/>
        </w:rPr>
        <w:t>ir nepieciešams līdzsvars starp komerciju un drošību, ne vi</w:t>
      </w:r>
      <w:r w:rsidR="00CE40EF">
        <w:rPr>
          <w:rFonts w:ascii="Calibri" w:hAnsi="Calibri" w:cs="Calibri"/>
          <w:sz w:val="22"/>
          <w:szCs w:val="22"/>
        </w:rPr>
        <w:t>enmēr komercsabiedrībām drošība</w:t>
      </w:r>
      <w:r w:rsidRPr="006006BD">
        <w:rPr>
          <w:rFonts w:ascii="Calibri" w:hAnsi="Calibri" w:cs="Calibri"/>
          <w:sz w:val="22"/>
          <w:szCs w:val="22"/>
        </w:rPr>
        <w:t xml:space="preserve"> tiek noteikta kā prioritāte;</w:t>
      </w:r>
    </w:p>
    <w:p w:rsidR="001D3C27" w:rsidRPr="006006BD" w:rsidRDefault="001D3C27" w:rsidP="001D3C27">
      <w:pPr>
        <w:pStyle w:val="ListParagraph"/>
        <w:numPr>
          <w:ilvl w:val="0"/>
          <w:numId w:val="4"/>
        </w:numPr>
        <w:tabs>
          <w:tab w:val="left" w:pos="1134"/>
        </w:tabs>
        <w:ind w:left="0" w:firstLine="780"/>
        <w:jc w:val="both"/>
        <w:rPr>
          <w:rFonts w:ascii="Calibri" w:hAnsi="Calibri" w:cs="Calibri"/>
          <w:sz w:val="22"/>
          <w:szCs w:val="22"/>
        </w:rPr>
      </w:pPr>
      <w:r w:rsidRPr="006006BD">
        <w:rPr>
          <w:rFonts w:ascii="Calibri" w:hAnsi="Calibri" w:cs="Calibri"/>
          <w:b/>
          <w:sz w:val="22"/>
          <w:szCs w:val="22"/>
        </w:rPr>
        <w:t>vadības ie</w:t>
      </w:r>
      <w:r w:rsidR="00AB4301" w:rsidRPr="006006BD">
        <w:rPr>
          <w:rFonts w:ascii="Calibri" w:hAnsi="Calibri" w:cs="Calibri"/>
          <w:b/>
          <w:sz w:val="22"/>
          <w:szCs w:val="22"/>
        </w:rPr>
        <w:t>saistīšanās</w:t>
      </w:r>
      <w:r w:rsidRPr="006006BD">
        <w:rPr>
          <w:rFonts w:ascii="Calibri" w:hAnsi="Calibri" w:cs="Calibri"/>
          <w:b/>
          <w:sz w:val="22"/>
          <w:szCs w:val="22"/>
        </w:rPr>
        <w:t xml:space="preserve"> drošības procesos</w:t>
      </w:r>
      <w:r w:rsidR="00CE40EF">
        <w:rPr>
          <w:rFonts w:ascii="Calibri" w:hAnsi="Calibri" w:cs="Calibri"/>
          <w:sz w:val="22"/>
          <w:szCs w:val="22"/>
        </w:rPr>
        <w:t xml:space="preserve"> – ir svarīgi</w:t>
      </w:r>
      <w:r w:rsidRPr="006006BD">
        <w:rPr>
          <w:rFonts w:ascii="Calibri" w:hAnsi="Calibri" w:cs="Calibri"/>
          <w:sz w:val="22"/>
          <w:szCs w:val="22"/>
        </w:rPr>
        <w:t xml:space="preserve">, ka </w:t>
      </w:r>
      <w:r w:rsidR="00CE40EF">
        <w:rPr>
          <w:rFonts w:ascii="Calibri" w:hAnsi="Calibri" w:cs="Calibri"/>
          <w:sz w:val="22"/>
          <w:szCs w:val="22"/>
        </w:rPr>
        <w:t xml:space="preserve">komersantu </w:t>
      </w:r>
      <w:r w:rsidRPr="006006BD">
        <w:rPr>
          <w:rFonts w:ascii="Calibri" w:hAnsi="Calibri" w:cs="Calibri"/>
          <w:sz w:val="22"/>
          <w:szCs w:val="22"/>
        </w:rPr>
        <w:t xml:space="preserve">augstākā </w:t>
      </w:r>
      <w:r w:rsidR="00CE40EF">
        <w:rPr>
          <w:rFonts w:ascii="Calibri" w:hAnsi="Calibri" w:cs="Calibri"/>
          <w:sz w:val="22"/>
          <w:szCs w:val="22"/>
        </w:rPr>
        <w:t xml:space="preserve">līmeņa </w:t>
      </w:r>
      <w:r w:rsidRPr="006006BD">
        <w:rPr>
          <w:rFonts w:ascii="Calibri" w:hAnsi="Calibri" w:cs="Calibri"/>
          <w:sz w:val="22"/>
          <w:szCs w:val="22"/>
        </w:rPr>
        <w:t>vadī</w:t>
      </w:r>
      <w:r w:rsidR="00CE40EF">
        <w:rPr>
          <w:rFonts w:ascii="Calibri" w:hAnsi="Calibri" w:cs="Calibri"/>
          <w:sz w:val="22"/>
          <w:szCs w:val="22"/>
        </w:rPr>
        <w:t>tāji izprot drošības prasības dzelzceļa transportā un tās</w:t>
      </w:r>
      <w:r w:rsidRPr="006006BD">
        <w:rPr>
          <w:rFonts w:ascii="Calibri" w:hAnsi="Calibri" w:cs="Calibri"/>
          <w:sz w:val="22"/>
          <w:szCs w:val="22"/>
        </w:rPr>
        <w:t xml:space="preserve"> mērķtiecīgi ievieš;</w:t>
      </w:r>
    </w:p>
    <w:p w:rsidR="001D3C27" w:rsidRPr="006006BD" w:rsidRDefault="001D3C27" w:rsidP="001D3C27">
      <w:pPr>
        <w:pStyle w:val="ListParagraph"/>
        <w:numPr>
          <w:ilvl w:val="0"/>
          <w:numId w:val="4"/>
        </w:numPr>
        <w:tabs>
          <w:tab w:val="left" w:pos="1134"/>
        </w:tabs>
        <w:spacing w:after="120"/>
        <w:ind w:left="0" w:firstLine="782"/>
        <w:jc w:val="both"/>
        <w:rPr>
          <w:rFonts w:ascii="Calibri" w:hAnsi="Calibri" w:cs="Calibri"/>
          <w:sz w:val="22"/>
          <w:szCs w:val="22"/>
        </w:rPr>
      </w:pPr>
      <w:r w:rsidRPr="006006BD">
        <w:rPr>
          <w:rFonts w:ascii="Calibri" w:hAnsi="Calibri" w:cs="Calibri"/>
          <w:b/>
          <w:sz w:val="22"/>
          <w:szCs w:val="22"/>
        </w:rPr>
        <w:t>pārvadājumu apjoms</w:t>
      </w:r>
      <w:r w:rsidRPr="006006BD">
        <w:rPr>
          <w:rFonts w:ascii="Calibri" w:hAnsi="Calibri" w:cs="Calibri"/>
          <w:sz w:val="22"/>
          <w:szCs w:val="22"/>
        </w:rPr>
        <w:t xml:space="preserve">. </w:t>
      </w:r>
    </w:p>
    <w:p w:rsidR="001D3C27" w:rsidRPr="006006BD" w:rsidRDefault="001D3C27" w:rsidP="00B53435">
      <w:pPr>
        <w:spacing w:after="0" w:line="240" w:lineRule="auto"/>
        <w:ind w:firstLine="720"/>
        <w:jc w:val="both"/>
        <w:rPr>
          <w:rFonts w:ascii="Calibri" w:hAnsi="Calibri" w:cs="Calibri"/>
          <w:color w:val="auto"/>
          <w:sz w:val="22"/>
          <w:szCs w:val="22"/>
          <w:lang w:val="lv-LV"/>
        </w:rPr>
      </w:pPr>
      <w:r w:rsidRPr="006006BD">
        <w:rPr>
          <w:rFonts w:ascii="Calibri" w:hAnsi="Calibri" w:cs="Calibri"/>
          <w:b/>
          <w:color w:val="auto"/>
          <w:sz w:val="22"/>
          <w:szCs w:val="22"/>
          <w:lang w:val="lv-LV"/>
        </w:rPr>
        <w:t>Laika apstākļi</w:t>
      </w:r>
      <w:r w:rsidRPr="006006BD">
        <w:rPr>
          <w:rFonts w:ascii="Calibri" w:hAnsi="Calibri" w:cs="Calibri"/>
          <w:color w:val="auto"/>
          <w:sz w:val="22"/>
          <w:szCs w:val="22"/>
          <w:lang w:val="lv-LV"/>
        </w:rPr>
        <w:t xml:space="preserve"> arī ietekmē negadījumu statistisku:</w:t>
      </w:r>
    </w:p>
    <w:p w:rsidR="001D3C27" w:rsidRPr="006006BD" w:rsidRDefault="001D3C27" w:rsidP="00B53435">
      <w:pPr>
        <w:pStyle w:val="ListParagraph"/>
        <w:numPr>
          <w:ilvl w:val="0"/>
          <w:numId w:val="4"/>
        </w:numPr>
        <w:tabs>
          <w:tab w:val="left" w:pos="1134"/>
        </w:tabs>
        <w:ind w:left="0" w:firstLine="851"/>
        <w:jc w:val="both"/>
        <w:rPr>
          <w:rFonts w:ascii="Calibri" w:hAnsi="Calibri" w:cs="Calibri"/>
          <w:sz w:val="22"/>
          <w:szCs w:val="22"/>
        </w:rPr>
      </w:pPr>
      <w:r w:rsidRPr="006006BD">
        <w:rPr>
          <w:rFonts w:ascii="Calibri" w:hAnsi="Calibri" w:cs="Calibri"/>
          <w:b/>
          <w:sz w:val="22"/>
          <w:szCs w:val="22"/>
        </w:rPr>
        <w:t>gadalaiki</w:t>
      </w:r>
      <w:r w:rsidRPr="006006BD">
        <w:rPr>
          <w:rFonts w:ascii="Calibri" w:hAnsi="Calibri" w:cs="Calibri"/>
          <w:sz w:val="22"/>
          <w:szCs w:val="22"/>
        </w:rPr>
        <w:t xml:space="preserve"> - </w:t>
      </w:r>
      <w:r w:rsidRPr="000D28E2">
        <w:rPr>
          <w:rFonts w:ascii="Calibri" w:hAnsi="Calibri" w:cs="Calibri"/>
          <w:sz w:val="22"/>
          <w:szCs w:val="22"/>
        </w:rPr>
        <w:t xml:space="preserve">kopumā </w:t>
      </w:r>
      <w:r w:rsidR="00E83E3A" w:rsidRPr="000D28E2">
        <w:rPr>
          <w:rFonts w:ascii="Calibri" w:hAnsi="Calibri" w:cs="Calibri"/>
          <w:sz w:val="22"/>
          <w:szCs w:val="22"/>
        </w:rPr>
        <w:t xml:space="preserve">statistikas dati parāda, ka </w:t>
      </w:r>
      <w:r w:rsidRPr="000D28E2">
        <w:rPr>
          <w:rFonts w:ascii="Calibri" w:hAnsi="Calibri" w:cs="Calibri"/>
          <w:sz w:val="22"/>
          <w:szCs w:val="22"/>
        </w:rPr>
        <w:t>ir problemātiskie mēneši,</w:t>
      </w:r>
      <w:r w:rsidRPr="006006BD">
        <w:rPr>
          <w:rFonts w:ascii="Calibri" w:hAnsi="Calibri" w:cs="Calibri"/>
          <w:sz w:val="22"/>
          <w:szCs w:val="22"/>
        </w:rPr>
        <w:t xml:space="preserve">  kad visvairāk notiek nelaimes gadījumi ar cilvēkiem  -  </w:t>
      </w:r>
      <w:r w:rsidRPr="000D28E2">
        <w:rPr>
          <w:rFonts w:ascii="Calibri" w:hAnsi="Calibri" w:cs="Calibri"/>
          <w:sz w:val="22"/>
          <w:szCs w:val="22"/>
        </w:rPr>
        <w:t>februāris, jūnijs, septembris un decembris</w:t>
      </w:r>
      <w:r w:rsidRPr="006006BD">
        <w:rPr>
          <w:rFonts w:ascii="Calibri" w:hAnsi="Calibri" w:cs="Calibri"/>
          <w:sz w:val="22"/>
          <w:szCs w:val="22"/>
        </w:rPr>
        <w:t>.  Vislielākais cietušo personu skaits ir decembrī, kas varētu būt saistāms ar tumšo diennakts laiku un Ziemassvētku ietekmi (depresija, vientulība). Savukārt februārī cietušo skaitu varētu raksturot ar sniega segu, ka</w:t>
      </w:r>
      <w:r w:rsidR="00B53435" w:rsidRPr="006006BD">
        <w:rPr>
          <w:rFonts w:ascii="Calibri" w:hAnsi="Calibri" w:cs="Calibri"/>
          <w:sz w:val="22"/>
          <w:szCs w:val="22"/>
        </w:rPr>
        <w:t>s</w:t>
      </w:r>
      <w:r w:rsidRPr="006006BD">
        <w:rPr>
          <w:rFonts w:ascii="Calibri" w:hAnsi="Calibri" w:cs="Calibri"/>
          <w:sz w:val="22"/>
          <w:szCs w:val="22"/>
        </w:rPr>
        <w:t xml:space="preserve"> Latvijā ir raksturīga tieši februārī.</w:t>
      </w:r>
      <w:r w:rsidR="00B53435" w:rsidRPr="006006BD">
        <w:rPr>
          <w:rFonts w:ascii="Calibri" w:hAnsi="Calibri" w:cs="Calibri"/>
          <w:sz w:val="22"/>
          <w:szCs w:val="22"/>
        </w:rPr>
        <w:t xml:space="preserve"> </w:t>
      </w:r>
      <w:r w:rsidRPr="006006BD">
        <w:rPr>
          <w:rFonts w:ascii="Calibri" w:hAnsi="Calibri" w:cs="Calibri"/>
          <w:sz w:val="22"/>
          <w:szCs w:val="22"/>
        </w:rPr>
        <w:t xml:space="preserve">Sniegs ievērojami slāpē trokšņus un brīdinājuma signālus. Jūnijs ir saistāms ar skolēnu vasaras brīvlaika sākšanos, savukārt septembrī  </w:t>
      </w:r>
      <w:r w:rsidR="00BA65D2">
        <w:rPr>
          <w:rFonts w:ascii="Calibri" w:hAnsi="Calibri" w:cs="Calibri"/>
          <w:sz w:val="22"/>
          <w:szCs w:val="22"/>
        </w:rPr>
        <w:t xml:space="preserve">- </w:t>
      </w:r>
      <w:r w:rsidRPr="006006BD">
        <w:rPr>
          <w:rFonts w:ascii="Calibri" w:hAnsi="Calibri" w:cs="Calibri"/>
          <w:sz w:val="22"/>
          <w:szCs w:val="22"/>
        </w:rPr>
        <w:t>atgriešan</w:t>
      </w:r>
      <w:r w:rsidR="00BA65D2">
        <w:rPr>
          <w:rFonts w:ascii="Calibri" w:hAnsi="Calibri" w:cs="Calibri"/>
          <w:sz w:val="22"/>
          <w:szCs w:val="22"/>
        </w:rPr>
        <w:t>ās no atvaļinājumiem</w:t>
      </w:r>
      <w:r w:rsidRPr="006006BD">
        <w:rPr>
          <w:rFonts w:ascii="Calibri" w:hAnsi="Calibri" w:cs="Calibri"/>
          <w:sz w:val="22"/>
          <w:szCs w:val="22"/>
        </w:rPr>
        <w:t xml:space="preserve"> un skolas sākšan</w:t>
      </w:r>
      <w:r w:rsidR="00BA65D2">
        <w:rPr>
          <w:rFonts w:ascii="Calibri" w:hAnsi="Calibri" w:cs="Calibri"/>
          <w:sz w:val="22"/>
          <w:szCs w:val="22"/>
        </w:rPr>
        <w:t>ā raksturīga ar c</w:t>
      </w:r>
      <w:r w:rsidR="00CE40EF">
        <w:rPr>
          <w:rFonts w:ascii="Calibri" w:hAnsi="Calibri" w:cs="Calibri"/>
          <w:sz w:val="22"/>
          <w:szCs w:val="22"/>
        </w:rPr>
        <w:t>ilvēku</w:t>
      </w:r>
      <w:r w:rsidR="00BA65D2">
        <w:rPr>
          <w:rFonts w:ascii="Calibri" w:hAnsi="Calibri" w:cs="Calibri"/>
          <w:sz w:val="22"/>
          <w:szCs w:val="22"/>
        </w:rPr>
        <w:t xml:space="preserve"> steigu un neuzmanību</w:t>
      </w:r>
      <w:r w:rsidR="00472D60">
        <w:rPr>
          <w:rFonts w:ascii="Calibri" w:hAnsi="Calibri" w:cs="Calibri"/>
          <w:sz w:val="22"/>
          <w:szCs w:val="22"/>
        </w:rPr>
        <w:t xml:space="preserve"> par notiekošo apkārt</w:t>
      </w:r>
      <w:r w:rsidRPr="006006BD">
        <w:rPr>
          <w:rFonts w:ascii="Calibri" w:hAnsi="Calibri" w:cs="Calibri"/>
          <w:sz w:val="22"/>
          <w:szCs w:val="22"/>
        </w:rPr>
        <w:t>. Vismazāk cietušo ir reģistrēti martā, aprīlī un oktobrī</w:t>
      </w:r>
      <w:r w:rsidR="00B53435" w:rsidRPr="006006BD">
        <w:rPr>
          <w:rFonts w:ascii="Calibri" w:hAnsi="Calibri" w:cs="Calibri"/>
          <w:sz w:val="22"/>
          <w:szCs w:val="22"/>
        </w:rPr>
        <w:t>;</w:t>
      </w:r>
    </w:p>
    <w:p w:rsidR="001D3C27" w:rsidRPr="006006BD" w:rsidRDefault="001D3C27" w:rsidP="00B53435">
      <w:pPr>
        <w:pStyle w:val="ListParagraph"/>
        <w:numPr>
          <w:ilvl w:val="0"/>
          <w:numId w:val="4"/>
        </w:numPr>
        <w:tabs>
          <w:tab w:val="left" w:pos="993"/>
        </w:tabs>
        <w:spacing w:before="120" w:after="120"/>
        <w:ind w:left="0" w:firstLine="780"/>
        <w:jc w:val="both"/>
        <w:rPr>
          <w:rFonts w:ascii="Calibri" w:hAnsi="Calibri" w:cs="Calibri"/>
          <w:sz w:val="22"/>
          <w:szCs w:val="22"/>
        </w:rPr>
      </w:pPr>
      <w:r w:rsidRPr="006006BD">
        <w:rPr>
          <w:noProof/>
          <w:lang w:eastAsia="lv-LV"/>
        </w:rPr>
        <w:t xml:space="preserve"> </w:t>
      </w:r>
      <w:r w:rsidRPr="006006BD">
        <w:rPr>
          <w:rFonts w:ascii="Calibri" w:hAnsi="Calibri" w:cs="Calibri"/>
          <w:b/>
          <w:sz w:val="22"/>
          <w:szCs w:val="22"/>
        </w:rPr>
        <w:t>diennakts periods</w:t>
      </w:r>
      <w:r w:rsidRPr="006006BD">
        <w:rPr>
          <w:rFonts w:ascii="Calibri" w:hAnsi="Calibri" w:cs="Calibri"/>
          <w:sz w:val="22"/>
          <w:szCs w:val="22"/>
        </w:rPr>
        <w:t xml:space="preserve"> – visvairāk negadījumi tiek reģistrēti dienas otrajā pusē, kad iedzīvotāji dodas mājās no darba un ir tumšais diennakts periods, jo īpaši ziemas mēnešos. No plkst.18:00  līdz plkst. 24:00, ir reģistrēti 60% cietušo.  </w:t>
      </w:r>
    </w:p>
    <w:p w:rsidR="001D3C27" w:rsidRPr="006006BD" w:rsidRDefault="001D3C27" w:rsidP="00B53435">
      <w:pPr>
        <w:pStyle w:val="ListParagraph"/>
        <w:numPr>
          <w:ilvl w:val="0"/>
          <w:numId w:val="4"/>
        </w:numPr>
        <w:tabs>
          <w:tab w:val="left" w:pos="993"/>
        </w:tabs>
        <w:spacing w:before="120" w:after="120"/>
        <w:ind w:left="0" w:firstLine="780"/>
        <w:jc w:val="both"/>
        <w:rPr>
          <w:rFonts w:ascii="Calibri" w:hAnsi="Calibri" w:cs="Calibri"/>
          <w:b/>
          <w:sz w:val="22"/>
          <w:szCs w:val="22"/>
        </w:rPr>
      </w:pPr>
      <w:r w:rsidRPr="006006BD">
        <w:rPr>
          <w:rFonts w:ascii="Calibri" w:hAnsi="Calibri" w:cs="Calibri"/>
          <w:b/>
          <w:sz w:val="22"/>
          <w:szCs w:val="22"/>
        </w:rPr>
        <w:t xml:space="preserve">temperatūra </w:t>
      </w:r>
      <w:r w:rsidRPr="006006BD">
        <w:rPr>
          <w:rFonts w:ascii="Calibri" w:hAnsi="Calibri" w:cs="Calibri"/>
          <w:sz w:val="22"/>
          <w:szCs w:val="22"/>
        </w:rPr>
        <w:t>– lielas temperatūru svārstības rada risku infrastruktūras bojājumiem, arī ritošajam sastāvam. Lai mazinātu risku, regulāri</w:t>
      </w:r>
      <w:r w:rsidR="002C0E08">
        <w:rPr>
          <w:rFonts w:ascii="Calibri" w:hAnsi="Calibri" w:cs="Calibri"/>
          <w:sz w:val="22"/>
          <w:szCs w:val="22"/>
        </w:rPr>
        <w:t xml:space="preserve"> jā</w:t>
      </w:r>
      <w:r w:rsidRPr="006006BD">
        <w:rPr>
          <w:rFonts w:ascii="Calibri" w:hAnsi="Calibri" w:cs="Calibri"/>
          <w:sz w:val="22"/>
          <w:szCs w:val="22"/>
        </w:rPr>
        <w:t>veic infrastruktūras stāvokļa uzraudzīb</w:t>
      </w:r>
      <w:r w:rsidR="002C0E08">
        <w:rPr>
          <w:rFonts w:ascii="Calibri" w:hAnsi="Calibri" w:cs="Calibri"/>
          <w:sz w:val="22"/>
          <w:szCs w:val="22"/>
        </w:rPr>
        <w:t>a</w:t>
      </w:r>
      <w:r w:rsidRPr="006006BD">
        <w:rPr>
          <w:rFonts w:ascii="Calibri" w:hAnsi="Calibri" w:cs="Calibri"/>
          <w:sz w:val="22"/>
          <w:szCs w:val="22"/>
        </w:rPr>
        <w:t xml:space="preserve"> un kur nepieciešams, </w:t>
      </w:r>
      <w:r w:rsidR="002C0E08">
        <w:rPr>
          <w:rFonts w:ascii="Calibri" w:hAnsi="Calibri" w:cs="Calibri"/>
          <w:sz w:val="22"/>
          <w:szCs w:val="22"/>
        </w:rPr>
        <w:t>jā</w:t>
      </w:r>
      <w:r w:rsidRPr="006006BD">
        <w:rPr>
          <w:rFonts w:ascii="Calibri" w:hAnsi="Calibri" w:cs="Calibri"/>
          <w:sz w:val="22"/>
          <w:szCs w:val="22"/>
        </w:rPr>
        <w:t>ierobežo satiks</w:t>
      </w:r>
      <w:r w:rsidR="009C24FD" w:rsidRPr="006006BD">
        <w:rPr>
          <w:rFonts w:ascii="Calibri" w:hAnsi="Calibri" w:cs="Calibri"/>
          <w:sz w:val="22"/>
          <w:szCs w:val="22"/>
        </w:rPr>
        <w:t>m</w:t>
      </w:r>
      <w:r w:rsidRPr="006006BD">
        <w:rPr>
          <w:rFonts w:ascii="Calibri" w:hAnsi="Calibri" w:cs="Calibri"/>
          <w:sz w:val="22"/>
          <w:szCs w:val="22"/>
        </w:rPr>
        <w:t xml:space="preserve">i vai kustības ātrumu. </w:t>
      </w:r>
    </w:p>
    <w:p w:rsidR="003F3437" w:rsidRPr="006006BD" w:rsidRDefault="009C24FD" w:rsidP="003F3437">
      <w:pPr>
        <w:pStyle w:val="BodyText"/>
        <w:tabs>
          <w:tab w:val="left" w:pos="709"/>
        </w:tabs>
        <w:jc w:val="both"/>
        <w:rPr>
          <w:rFonts w:ascii="Calibri" w:hAnsi="Calibri" w:cs="Calibri"/>
          <w:sz w:val="22"/>
          <w:szCs w:val="22"/>
        </w:rPr>
      </w:pPr>
      <w:r w:rsidRPr="006006BD">
        <w:rPr>
          <w:rFonts w:ascii="Calibri" w:hAnsi="Calibri" w:cs="Calibri"/>
          <w:sz w:val="22"/>
          <w:szCs w:val="22"/>
        </w:rPr>
        <w:tab/>
        <w:t>Latvijā n</w:t>
      </w:r>
      <w:r w:rsidR="003F3437" w:rsidRPr="006006BD">
        <w:rPr>
          <w:rFonts w:ascii="Calibri" w:hAnsi="Calibri" w:cs="Calibri"/>
          <w:sz w:val="22"/>
          <w:szCs w:val="22"/>
        </w:rPr>
        <w:t>o 2015.gada nav reģistrēti negadījumi ar bīstamo kravu, kam būtu nopietna ietekme uz drošību</w:t>
      </w:r>
      <w:r w:rsidRPr="006006BD">
        <w:rPr>
          <w:rFonts w:ascii="Calibri" w:hAnsi="Calibri" w:cs="Calibri"/>
          <w:sz w:val="22"/>
          <w:szCs w:val="22"/>
        </w:rPr>
        <w:t xml:space="preserve"> un vidi</w:t>
      </w:r>
      <w:r w:rsidR="003F3437" w:rsidRPr="006006BD">
        <w:rPr>
          <w:rFonts w:ascii="Calibri" w:hAnsi="Calibri" w:cs="Calibri"/>
          <w:sz w:val="22"/>
          <w:szCs w:val="22"/>
        </w:rPr>
        <w:t>.</w:t>
      </w:r>
    </w:p>
    <w:p w:rsidR="003F3437" w:rsidRPr="006006BD" w:rsidRDefault="003F3437" w:rsidP="00B6156F">
      <w:pPr>
        <w:spacing w:before="120" w:after="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Analizējot cietušo personu datus, vidējais rādītājs ir 5</w:t>
      </w:r>
      <w:r w:rsidR="009C24FD" w:rsidRPr="006006BD">
        <w:rPr>
          <w:rFonts w:ascii="Calibri" w:hAnsi="Calibri" w:cs="Calibri"/>
          <w:color w:val="auto"/>
          <w:sz w:val="22"/>
          <w:szCs w:val="22"/>
          <w:lang w:val="lv-LV"/>
        </w:rPr>
        <w:t>5</w:t>
      </w:r>
      <w:r w:rsidRPr="006006BD">
        <w:rPr>
          <w:rFonts w:ascii="Calibri" w:hAnsi="Calibri" w:cs="Calibri"/>
          <w:color w:val="auto"/>
          <w:sz w:val="22"/>
          <w:szCs w:val="22"/>
          <w:lang w:val="lv-LV"/>
        </w:rPr>
        <w:t xml:space="preserve">% negadījumi ar letālām sekām. 45% gadījumos personas gūst miesas bojājumus.  Cietušo skaits mēnesī variē līdz četriem cietušajiem.  Trīs cietušie mēnesī ir visbiežāk sastopamā vērtība (48,39%). Ir gadījumi, kad nav reģistrēts neviens cietušais, bet ir </w:t>
      </w:r>
      <w:r w:rsidRPr="006006BD">
        <w:rPr>
          <w:rFonts w:ascii="Calibri" w:hAnsi="Calibri" w:cs="Calibri"/>
          <w:color w:val="auto"/>
          <w:sz w:val="22"/>
          <w:szCs w:val="22"/>
          <w:lang w:val="lv-LV"/>
        </w:rPr>
        <w:lastRenderedPageBreak/>
        <w:t xml:space="preserve">atsevišķs gadījums, kur mēnesī reģistrēti vairāk kā 20 cietušie - 2005.gada dzelzceļa avārija.  </w:t>
      </w:r>
      <w:r w:rsidR="00B6156F" w:rsidRPr="006006BD">
        <w:rPr>
          <w:noProof/>
          <w:lang w:val="lv-LV" w:eastAsia="lv-LV"/>
        </w:rPr>
        <w:drawing>
          <wp:inline distT="0" distB="0" distL="0" distR="0" wp14:anchorId="69419018" wp14:editId="1341C928">
            <wp:extent cx="6076950" cy="22479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F3437" w:rsidRPr="006006BD" w:rsidRDefault="003F3437" w:rsidP="003F3437">
      <w:pPr>
        <w:spacing w:after="0" w:line="240" w:lineRule="auto"/>
        <w:ind w:hanging="284"/>
        <w:jc w:val="both"/>
        <w:rPr>
          <w:rFonts w:ascii="Calibri" w:hAnsi="Calibri" w:cs="Calibri"/>
          <w:color w:val="auto"/>
          <w:sz w:val="22"/>
          <w:szCs w:val="22"/>
          <w:lang w:val="lv-LV"/>
        </w:rPr>
      </w:pPr>
    </w:p>
    <w:p w:rsidR="003F3437" w:rsidRPr="006006BD" w:rsidRDefault="00BC3450" w:rsidP="003F3437">
      <w:pPr>
        <w:spacing w:before="120" w:after="0" w:line="240" w:lineRule="auto"/>
        <w:ind w:firstLine="720"/>
        <w:jc w:val="both"/>
        <w:rPr>
          <w:rFonts w:ascii="Calibri" w:hAnsi="Calibri" w:cs="Calibri"/>
          <w:color w:val="auto"/>
          <w:sz w:val="22"/>
          <w:szCs w:val="22"/>
          <w:lang w:val="lv-LV"/>
        </w:rPr>
      </w:pPr>
      <w:r w:rsidRPr="006006BD">
        <w:rPr>
          <w:noProof/>
          <w:lang w:val="lv-LV" w:eastAsia="lv-LV"/>
        </w:rPr>
        <w:drawing>
          <wp:anchor distT="0" distB="0" distL="114300" distR="114300" simplePos="0" relativeHeight="251671552" behindDoc="0" locked="0" layoutInCell="1" allowOverlap="1">
            <wp:simplePos x="0" y="0"/>
            <wp:positionH relativeFrom="margin">
              <wp:align>left</wp:align>
            </wp:positionH>
            <wp:positionV relativeFrom="paragraph">
              <wp:posOffset>1474470</wp:posOffset>
            </wp:positionV>
            <wp:extent cx="6096000" cy="2400300"/>
            <wp:effectExtent l="0" t="0" r="0" b="0"/>
            <wp:wrapSquare wrapText="bothSides"/>
            <wp:docPr id="7" name="Chart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F6FD7EF-B792-47C8-8FF5-050437709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3F3437" w:rsidRPr="006006BD">
        <w:rPr>
          <w:rFonts w:ascii="Calibri" w:hAnsi="Calibri" w:cs="Calibri"/>
          <w:color w:val="auto"/>
          <w:sz w:val="22"/>
          <w:szCs w:val="22"/>
          <w:lang w:val="lv-LV"/>
        </w:rPr>
        <w:t>Sadalījumā pa cietušo personu kategorijām (2004.-201</w:t>
      </w:r>
      <w:r w:rsidR="008641A3" w:rsidRPr="006006BD">
        <w:rPr>
          <w:rFonts w:ascii="Calibri" w:hAnsi="Calibri" w:cs="Calibri"/>
          <w:color w:val="auto"/>
          <w:sz w:val="22"/>
          <w:szCs w:val="22"/>
          <w:lang w:val="lv-LV"/>
        </w:rPr>
        <w:t>9</w:t>
      </w:r>
      <w:r w:rsidR="003F3437" w:rsidRPr="006006BD">
        <w:rPr>
          <w:rFonts w:ascii="Calibri" w:hAnsi="Calibri" w:cs="Calibri"/>
          <w:color w:val="auto"/>
          <w:sz w:val="22"/>
          <w:szCs w:val="22"/>
          <w:lang w:val="lv-LV"/>
        </w:rPr>
        <w:t xml:space="preserve">.gads), lielākais īpatsvars ir nepiederošām personām </w:t>
      </w:r>
      <w:r w:rsidR="00C55899" w:rsidRPr="006006BD">
        <w:rPr>
          <w:rFonts w:ascii="Calibri" w:hAnsi="Calibri" w:cs="Calibri"/>
          <w:color w:val="auto"/>
          <w:sz w:val="22"/>
          <w:szCs w:val="22"/>
          <w:lang w:val="lv-LV"/>
        </w:rPr>
        <w:t xml:space="preserve"> jeb noteikumu pārkāpējiem </w:t>
      </w:r>
      <w:r w:rsidR="003F3437" w:rsidRPr="006006BD">
        <w:rPr>
          <w:rFonts w:ascii="Calibri" w:hAnsi="Calibri" w:cs="Calibri"/>
          <w:color w:val="auto"/>
          <w:sz w:val="22"/>
          <w:szCs w:val="22"/>
          <w:lang w:val="lv-LV"/>
        </w:rPr>
        <w:t xml:space="preserve">atrodoties paaugstinātas bīstamības zonā un </w:t>
      </w:r>
      <w:r w:rsidR="00047310" w:rsidRPr="006006BD">
        <w:rPr>
          <w:rFonts w:ascii="Calibri" w:hAnsi="Calibri" w:cs="Calibri"/>
          <w:color w:val="auto"/>
          <w:sz w:val="22"/>
          <w:szCs w:val="22"/>
          <w:lang w:val="lv-LV"/>
        </w:rPr>
        <w:t>pārbrauktuvju lietotājiem</w:t>
      </w:r>
      <w:r w:rsidR="003F3437" w:rsidRPr="006006BD">
        <w:rPr>
          <w:rFonts w:ascii="Calibri" w:hAnsi="Calibri" w:cs="Calibri"/>
          <w:color w:val="auto"/>
          <w:sz w:val="22"/>
          <w:szCs w:val="22"/>
          <w:lang w:val="lv-LV"/>
        </w:rPr>
        <w:t xml:space="preserve">. </w:t>
      </w:r>
      <w:r w:rsidR="005E62B2">
        <w:rPr>
          <w:rFonts w:ascii="Calibri" w:hAnsi="Calibri" w:cs="Calibri"/>
          <w:color w:val="auto"/>
          <w:sz w:val="22"/>
          <w:szCs w:val="22"/>
          <w:lang w:val="lv-LV"/>
        </w:rPr>
        <w:t>Ievērojamu</w:t>
      </w:r>
      <w:r w:rsidR="00C55899" w:rsidRPr="006006BD">
        <w:rPr>
          <w:rFonts w:ascii="Calibri" w:hAnsi="Calibri" w:cs="Calibri"/>
          <w:color w:val="auto"/>
          <w:sz w:val="22"/>
          <w:szCs w:val="22"/>
          <w:lang w:val="lv-LV"/>
        </w:rPr>
        <w:t xml:space="preserve"> daļu </w:t>
      </w:r>
      <w:r w:rsidR="003F3437" w:rsidRPr="006006BD">
        <w:rPr>
          <w:rFonts w:ascii="Calibri" w:hAnsi="Calibri" w:cs="Calibri"/>
          <w:color w:val="auto"/>
          <w:sz w:val="22"/>
          <w:szCs w:val="22"/>
          <w:lang w:val="lv-LV"/>
        </w:rPr>
        <w:t>veido arī to cietušo personu kategorijas, kas nav ievērojušas drošības prasības atrodoties uz peroniem/platformām. 201</w:t>
      </w:r>
      <w:r w:rsidR="00C55899" w:rsidRPr="006006BD">
        <w:rPr>
          <w:rFonts w:ascii="Calibri" w:hAnsi="Calibri" w:cs="Calibri"/>
          <w:color w:val="auto"/>
          <w:sz w:val="22"/>
          <w:szCs w:val="22"/>
          <w:lang w:val="lv-LV"/>
        </w:rPr>
        <w:t>9</w:t>
      </w:r>
      <w:r w:rsidR="003F3437" w:rsidRPr="006006BD">
        <w:rPr>
          <w:rFonts w:ascii="Calibri" w:hAnsi="Calibri" w:cs="Calibri"/>
          <w:color w:val="auto"/>
          <w:sz w:val="22"/>
          <w:szCs w:val="22"/>
          <w:lang w:val="lv-LV"/>
        </w:rPr>
        <w:t xml:space="preserve">.gadā ir reģistrēts viens negadījums ar pasažieri, </w:t>
      </w:r>
      <w:r w:rsidR="00BA65D2">
        <w:rPr>
          <w:rFonts w:ascii="Calibri" w:hAnsi="Calibri" w:cs="Calibri"/>
          <w:color w:val="auto"/>
          <w:sz w:val="22"/>
          <w:szCs w:val="22"/>
          <w:lang w:val="lv-LV"/>
        </w:rPr>
        <w:t>kas</w:t>
      </w:r>
      <w:r w:rsidR="00C55899" w:rsidRPr="006006BD">
        <w:rPr>
          <w:rFonts w:ascii="Calibri" w:hAnsi="Calibri" w:cs="Calibri"/>
          <w:color w:val="auto"/>
          <w:sz w:val="22"/>
          <w:szCs w:val="22"/>
          <w:lang w:val="lv-LV"/>
        </w:rPr>
        <w:t xml:space="preserve"> atrodot</w:t>
      </w:r>
      <w:r w:rsidR="00BA65D2">
        <w:rPr>
          <w:rFonts w:ascii="Calibri" w:hAnsi="Calibri" w:cs="Calibri"/>
          <w:color w:val="auto"/>
          <w:sz w:val="22"/>
          <w:szCs w:val="22"/>
          <w:lang w:val="lv-LV"/>
        </w:rPr>
        <w:t>ies alkohola reibuma stāvoklī izkrita</w:t>
      </w:r>
      <w:r w:rsidR="00C55899" w:rsidRPr="006006BD">
        <w:rPr>
          <w:rFonts w:ascii="Calibri" w:hAnsi="Calibri" w:cs="Calibri"/>
          <w:color w:val="auto"/>
          <w:sz w:val="22"/>
          <w:szCs w:val="22"/>
          <w:lang w:val="lv-LV"/>
        </w:rPr>
        <w:t xml:space="preserve"> no ritekļa</w:t>
      </w:r>
      <w:r w:rsidR="003F3437" w:rsidRPr="006006BD">
        <w:rPr>
          <w:rFonts w:ascii="Calibri" w:hAnsi="Calibri" w:cs="Calibri"/>
          <w:color w:val="auto"/>
          <w:sz w:val="22"/>
          <w:szCs w:val="22"/>
          <w:lang w:val="lv-LV"/>
        </w:rPr>
        <w:t xml:space="preserve">. </w:t>
      </w:r>
      <w:r w:rsidR="00047310" w:rsidRPr="006006BD">
        <w:rPr>
          <w:rFonts w:ascii="Calibri" w:hAnsi="Calibri" w:cs="Calibri"/>
          <w:color w:val="auto"/>
          <w:sz w:val="22"/>
          <w:szCs w:val="22"/>
          <w:lang w:val="lv-LV"/>
        </w:rPr>
        <w:t>Augstākie riski pastāv</w:t>
      </w:r>
      <w:r w:rsidR="003F3437" w:rsidRPr="006006BD">
        <w:rPr>
          <w:rFonts w:ascii="Calibri" w:hAnsi="Calibri" w:cs="Calibri"/>
          <w:color w:val="auto"/>
          <w:sz w:val="22"/>
          <w:szCs w:val="22"/>
          <w:lang w:val="lv-LV"/>
        </w:rPr>
        <w:t xml:space="preserve"> pārbrauktuves lietotāji</w:t>
      </w:r>
      <w:r w:rsidR="00047310" w:rsidRPr="006006BD">
        <w:rPr>
          <w:rFonts w:ascii="Calibri" w:hAnsi="Calibri" w:cs="Calibri"/>
          <w:color w:val="auto"/>
          <w:sz w:val="22"/>
          <w:szCs w:val="22"/>
          <w:lang w:val="lv-LV"/>
        </w:rPr>
        <w:t>em un personām</w:t>
      </w:r>
      <w:r w:rsidR="003F3437" w:rsidRPr="006006BD">
        <w:rPr>
          <w:rFonts w:ascii="Calibri" w:hAnsi="Calibri" w:cs="Calibri"/>
          <w:color w:val="auto"/>
          <w:sz w:val="22"/>
          <w:szCs w:val="22"/>
          <w:lang w:val="lv-LV"/>
        </w:rPr>
        <w:t xml:space="preserve">, kas atrodas uz peroniem un šķērso sliežu ceļus neatļautās vietās, it īpaši atrodoties alkohola reibuma stāvoklī. </w:t>
      </w:r>
      <w:r w:rsidR="00C55899" w:rsidRPr="006006BD">
        <w:rPr>
          <w:rFonts w:ascii="Calibri" w:hAnsi="Calibri" w:cs="Calibri"/>
          <w:color w:val="auto"/>
          <w:sz w:val="22"/>
          <w:szCs w:val="22"/>
          <w:lang w:val="lv-LV"/>
        </w:rPr>
        <w:t>2019.gadā ir arī reģistrēts viens negadījums ar nodarbināto, kuru vilciens notrieca diennakts tumšajā periodā.</w:t>
      </w:r>
    </w:p>
    <w:p w:rsidR="003F3437" w:rsidRPr="006006BD" w:rsidRDefault="003F3437" w:rsidP="003F3437">
      <w:pPr>
        <w:spacing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Latvijā salīdzinoši liels īpatsvars ir cietušie kategorijā</w:t>
      </w:r>
      <w:r w:rsidR="00240AFB" w:rsidRPr="006006BD">
        <w:rPr>
          <w:rFonts w:ascii="Calibri" w:hAnsi="Calibri" w:cs="Calibri"/>
          <w:color w:val="auto"/>
          <w:sz w:val="22"/>
          <w:szCs w:val="22"/>
          <w:lang w:val="lv-LV"/>
        </w:rPr>
        <w:t xml:space="preserve"> “</w:t>
      </w:r>
      <w:r w:rsidRPr="006006BD">
        <w:rPr>
          <w:rFonts w:ascii="Calibri" w:hAnsi="Calibri" w:cs="Calibri"/>
          <w:color w:val="auto"/>
          <w:sz w:val="22"/>
          <w:szCs w:val="22"/>
          <w:lang w:val="lv-LV"/>
        </w:rPr>
        <w:t>citas personas</w:t>
      </w:r>
      <w:r w:rsidR="00240AFB" w:rsidRPr="006006BD">
        <w:rPr>
          <w:rFonts w:ascii="Calibri" w:hAnsi="Calibri" w:cs="Calibri"/>
          <w:color w:val="auto"/>
          <w:sz w:val="22"/>
          <w:szCs w:val="22"/>
          <w:lang w:val="lv-LV"/>
        </w:rPr>
        <w:t>”. Tas ir</w:t>
      </w:r>
      <w:r w:rsidRPr="006006BD">
        <w:rPr>
          <w:rFonts w:ascii="Calibri" w:hAnsi="Calibri" w:cs="Calibri"/>
          <w:color w:val="auto"/>
          <w:sz w:val="22"/>
          <w:szCs w:val="22"/>
          <w:lang w:val="lv-LV"/>
        </w:rPr>
        <w:t xml:space="preserve"> saistāms ar personu atrašanos uz sliedēm vai peroniem alkohola reibuma stāvoklī.  Pieaug arī tādi gadījumi, kad jaunieši </w:t>
      </w:r>
      <w:r w:rsidR="00BA65D2">
        <w:rPr>
          <w:rFonts w:ascii="Calibri" w:hAnsi="Calibri" w:cs="Calibri"/>
          <w:color w:val="auto"/>
          <w:sz w:val="22"/>
          <w:szCs w:val="22"/>
          <w:lang w:val="lv-LV"/>
        </w:rPr>
        <w:t>pārgalvīgi pieķeras braucoša</w:t>
      </w:r>
      <w:r w:rsidRPr="006006BD">
        <w:rPr>
          <w:rFonts w:ascii="Calibri" w:hAnsi="Calibri" w:cs="Calibri"/>
          <w:color w:val="auto"/>
          <w:sz w:val="22"/>
          <w:szCs w:val="22"/>
          <w:lang w:val="lv-LV"/>
        </w:rPr>
        <w:t xml:space="preserve"> vilcienu sastāva </w:t>
      </w:r>
      <w:r w:rsidR="00BA65D2">
        <w:rPr>
          <w:rFonts w:ascii="Calibri" w:hAnsi="Calibri" w:cs="Calibri"/>
          <w:color w:val="auto"/>
          <w:sz w:val="22"/>
          <w:szCs w:val="22"/>
          <w:lang w:val="lv-LV"/>
        </w:rPr>
        <w:t>autosakabēm vai rāpjas uz vagonu jumtiem</w:t>
      </w:r>
      <w:r w:rsidRPr="006006BD">
        <w:rPr>
          <w:rFonts w:ascii="Calibri" w:hAnsi="Calibri" w:cs="Calibri"/>
          <w:color w:val="auto"/>
          <w:sz w:val="22"/>
          <w:szCs w:val="22"/>
          <w:lang w:val="lv-LV"/>
        </w:rPr>
        <w:t xml:space="preserve">.  </w:t>
      </w:r>
    </w:p>
    <w:p w:rsidR="003F3437" w:rsidRPr="006006BD" w:rsidRDefault="003F3437" w:rsidP="00240AFB">
      <w:pPr>
        <w:spacing w:after="0" w:line="240" w:lineRule="auto"/>
        <w:jc w:val="right"/>
        <w:rPr>
          <w:rFonts w:ascii="Calibri" w:hAnsi="Calibri" w:cs="Calibri"/>
          <w:color w:val="auto"/>
          <w:sz w:val="22"/>
          <w:szCs w:val="22"/>
          <w:lang w:val="lv-LV"/>
        </w:rPr>
      </w:pPr>
      <w:r w:rsidRPr="006006BD">
        <w:rPr>
          <w:rFonts w:ascii="Calibri" w:hAnsi="Calibri" w:cs="Calibri"/>
          <w:b/>
          <w:color w:val="auto"/>
          <w:szCs w:val="22"/>
          <w:lang w:val="lv-LV"/>
        </w:rPr>
        <w:t>8.tabula</w:t>
      </w:r>
      <w:r w:rsidR="005E62B2">
        <w:rPr>
          <w:rFonts w:ascii="Calibri" w:hAnsi="Calibri" w:cs="Calibri"/>
          <w:b/>
          <w:color w:val="auto"/>
          <w:szCs w:val="22"/>
          <w:lang w:val="lv-LV"/>
        </w:rPr>
        <w:t>.</w:t>
      </w:r>
      <w:r w:rsidRPr="006006BD">
        <w:rPr>
          <w:rFonts w:ascii="Calibri" w:hAnsi="Calibri" w:cs="Calibri"/>
          <w:b/>
          <w:color w:val="auto"/>
          <w:szCs w:val="22"/>
          <w:lang w:val="lv-LV"/>
        </w:rPr>
        <w:t xml:space="preserve"> Datu salīdzinājums pa cietušo kategorijām</w:t>
      </w:r>
      <w:r w:rsidR="00595742" w:rsidRPr="006006BD">
        <w:rPr>
          <w:rFonts w:ascii="Calibri" w:hAnsi="Calibri" w:cs="Calibri"/>
          <w:b/>
          <w:color w:val="auto"/>
          <w:szCs w:val="22"/>
          <w:lang w:val="lv-LV"/>
        </w:rPr>
        <w:t xml:space="preserve"> (2004-2019)</w:t>
      </w:r>
    </w:p>
    <w:tbl>
      <w:tblPr>
        <w:tblStyle w:val="TableGrid"/>
        <w:tblW w:w="10348" w:type="dxa"/>
        <w:tblInd w:w="-284"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2836"/>
        <w:gridCol w:w="1276"/>
        <w:gridCol w:w="1275"/>
        <w:gridCol w:w="1276"/>
        <w:gridCol w:w="1134"/>
        <w:gridCol w:w="1275"/>
        <w:gridCol w:w="1276"/>
      </w:tblGrid>
      <w:tr w:rsidR="0034046E" w:rsidRPr="006006BD" w:rsidTr="0034046E">
        <w:tc>
          <w:tcPr>
            <w:tcW w:w="2836" w:type="dxa"/>
          </w:tcPr>
          <w:p w:rsidR="003F3437" w:rsidRPr="006006BD"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both"/>
              <w:rPr>
                <w:rFonts w:ascii="Calibri" w:hAnsi="Calibri" w:cs="Calibri"/>
                <w:b/>
                <w:color w:val="auto"/>
                <w:sz w:val="22"/>
                <w:szCs w:val="22"/>
                <w:lang w:val="lv-LV"/>
              </w:rPr>
            </w:pPr>
          </w:p>
        </w:tc>
        <w:tc>
          <w:tcPr>
            <w:tcW w:w="1276" w:type="dxa"/>
            <w:tcBorders>
              <w:top w:val="nil"/>
              <w:bottom w:val="single" w:sz="4" w:space="0" w:color="auto"/>
              <w:right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pasažieris</w:t>
            </w:r>
          </w:p>
        </w:tc>
        <w:tc>
          <w:tcPr>
            <w:tcW w:w="1275" w:type="dxa"/>
            <w:tcBorders>
              <w:top w:val="nil"/>
              <w:left w:val="single" w:sz="4" w:space="0" w:color="auto"/>
              <w:bottom w:val="single" w:sz="4" w:space="0" w:color="auto"/>
              <w:right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nodarbinātais</w:t>
            </w:r>
          </w:p>
        </w:tc>
        <w:tc>
          <w:tcPr>
            <w:tcW w:w="1276" w:type="dxa"/>
            <w:tcBorders>
              <w:top w:val="nil"/>
              <w:left w:val="single" w:sz="4" w:space="0" w:color="auto"/>
              <w:bottom w:val="single" w:sz="4" w:space="0" w:color="auto"/>
              <w:right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pārbrauktuves lietotājs</w:t>
            </w:r>
          </w:p>
        </w:tc>
        <w:tc>
          <w:tcPr>
            <w:tcW w:w="1134" w:type="dxa"/>
            <w:tcBorders>
              <w:top w:val="nil"/>
              <w:left w:val="single" w:sz="4" w:space="0" w:color="auto"/>
              <w:bottom w:val="single" w:sz="4" w:space="0" w:color="auto"/>
              <w:right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noteikumu pārkāpējs</w:t>
            </w:r>
          </w:p>
        </w:tc>
        <w:tc>
          <w:tcPr>
            <w:tcW w:w="1275" w:type="dxa"/>
            <w:tcBorders>
              <w:top w:val="nil"/>
              <w:left w:val="single" w:sz="4" w:space="0" w:color="auto"/>
              <w:bottom w:val="single" w:sz="4" w:space="0" w:color="auto"/>
              <w:right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cita persona ārpus platformas</w:t>
            </w:r>
          </w:p>
        </w:tc>
        <w:tc>
          <w:tcPr>
            <w:tcW w:w="1276" w:type="dxa"/>
            <w:tcBorders>
              <w:top w:val="nil"/>
              <w:left w:val="single" w:sz="4" w:space="0" w:color="auto"/>
              <w:bottom w:val="single" w:sz="4" w:space="0" w:color="auto"/>
            </w:tcBorders>
            <w:vAlign w:val="center"/>
          </w:tcPr>
          <w:p w:rsidR="003F3437" w:rsidRPr="006006BD"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006BD">
              <w:rPr>
                <w:rFonts w:ascii="Calibri" w:hAnsi="Calibri" w:cs="Calibri"/>
                <w:b/>
                <w:color w:val="auto"/>
                <w:szCs w:val="22"/>
                <w:lang w:val="lv-LV"/>
              </w:rPr>
              <w:t>cita persona uz platformas</w:t>
            </w:r>
          </w:p>
        </w:tc>
      </w:tr>
      <w:tr w:rsidR="0034046E" w:rsidRPr="006006BD" w:rsidTr="0034046E">
        <w:tc>
          <w:tcPr>
            <w:tcW w:w="2836" w:type="dxa"/>
            <w:tcBorders>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Vidējais radītājs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34046E">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10,</w:t>
            </w:r>
            <w:r w:rsidR="0034046E" w:rsidRPr="006006BD">
              <w:rPr>
                <w:rFonts w:ascii="Calibri" w:hAnsi="Calibri" w:cs="Calibri"/>
                <w:b/>
                <w:color w:val="auto"/>
                <w:sz w:val="22"/>
                <w:lang w:val="lv-LV"/>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34046E">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w:t>
            </w:r>
            <w:r w:rsidR="0034046E" w:rsidRPr="006006BD">
              <w:rPr>
                <w:rFonts w:ascii="Calibri" w:hAnsi="Calibri" w:cs="Calibri"/>
                <w:b/>
                <w:color w:val="auto"/>
                <w:sz w:val="22"/>
                <w:lang w:val="lv-LV"/>
              </w:rPr>
              <w:t>,5</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34046E">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3</w:t>
            </w:r>
            <w:r w:rsidR="0034046E" w:rsidRPr="006006BD">
              <w:rPr>
                <w:rFonts w:ascii="Calibri" w:hAnsi="Calibri" w:cs="Calibri"/>
                <w:b/>
                <w:color w:val="auto"/>
                <w:sz w:val="22"/>
                <w:lang w:val="lv-LV"/>
              </w:rPr>
              <w:t>,06</w:t>
            </w:r>
          </w:p>
        </w:tc>
      </w:tr>
      <w:tr w:rsidR="0034046E" w:rsidRPr="006006BD" w:rsidTr="0034046E">
        <w:tc>
          <w:tcPr>
            <w:tcW w:w="2836" w:type="dxa"/>
            <w:tcBorders>
              <w:top w:val="single" w:sz="4" w:space="0" w:color="auto"/>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Centrālā vērtība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w:t>
            </w:r>
          </w:p>
        </w:tc>
      </w:tr>
      <w:tr w:rsidR="0034046E" w:rsidRPr="006006BD" w:rsidTr="0034046E">
        <w:tc>
          <w:tcPr>
            <w:tcW w:w="2836" w:type="dxa"/>
            <w:tcBorders>
              <w:top w:val="single" w:sz="4" w:space="0" w:color="auto"/>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Visbiežāk sastopamā vērtība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r>
      <w:tr w:rsidR="0034046E" w:rsidRPr="006006BD" w:rsidTr="0034046E">
        <w:tc>
          <w:tcPr>
            <w:tcW w:w="2836" w:type="dxa"/>
            <w:tcBorders>
              <w:top w:val="single" w:sz="4" w:space="0" w:color="auto"/>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Zemākais rādītājs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0</w:t>
            </w:r>
          </w:p>
        </w:tc>
      </w:tr>
      <w:tr w:rsidR="0034046E" w:rsidRPr="006006BD" w:rsidTr="0034046E">
        <w:tc>
          <w:tcPr>
            <w:tcW w:w="2836" w:type="dxa"/>
            <w:tcBorders>
              <w:top w:val="single" w:sz="4" w:space="0" w:color="auto"/>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r w:rsidRPr="006006BD">
              <w:rPr>
                <w:rFonts w:ascii="Calibri" w:hAnsi="Calibri" w:cs="Calibri"/>
                <w:color w:val="auto"/>
                <w:sz w:val="22"/>
                <w:szCs w:val="22"/>
                <w:lang w:val="lv-LV"/>
              </w:rPr>
              <w:t>Augstākais rādītājs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6</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11</w:t>
            </w:r>
          </w:p>
        </w:tc>
      </w:tr>
      <w:tr w:rsidR="0034046E" w:rsidRPr="006006BD" w:rsidTr="0034046E">
        <w:tc>
          <w:tcPr>
            <w:tcW w:w="2836" w:type="dxa"/>
            <w:tcBorders>
              <w:top w:val="single" w:sz="4" w:space="0" w:color="auto"/>
              <w:bottom w:val="single" w:sz="4" w:space="0" w:color="auto"/>
              <w:right w:val="single" w:sz="4" w:space="0" w:color="auto"/>
            </w:tcBorders>
          </w:tcPr>
          <w:p w:rsidR="003F3437" w:rsidRPr="006006BD" w:rsidRDefault="003F3437" w:rsidP="00FC668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Kopā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288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F3437" w:rsidRPr="006006BD" w:rsidRDefault="0034046E"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40</w:t>
            </w:r>
          </w:p>
        </w:tc>
        <w:tc>
          <w:tcPr>
            <w:tcW w:w="1276" w:type="dxa"/>
            <w:tcBorders>
              <w:top w:val="single" w:sz="4" w:space="0" w:color="auto"/>
              <w:left w:val="single" w:sz="4" w:space="0" w:color="auto"/>
              <w:bottom w:val="single" w:sz="4" w:space="0" w:color="auto"/>
              <w:right w:val="nil"/>
            </w:tcBorders>
            <w:shd w:val="clear" w:color="auto" w:fill="auto"/>
            <w:vAlign w:val="bottom"/>
          </w:tcPr>
          <w:p w:rsidR="003F3437" w:rsidRPr="006006BD" w:rsidRDefault="003F3437" w:rsidP="00FC6688">
            <w:pPr>
              <w:spacing w:after="0" w:line="240" w:lineRule="auto"/>
              <w:jc w:val="center"/>
              <w:rPr>
                <w:rFonts w:ascii="Calibri" w:hAnsi="Calibri" w:cs="Calibri"/>
                <w:b/>
                <w:color w:val="auto"/>
                <w:sz w:val="22"/>
                <w:lang w:val="lv-LV"/>
              </w:rPr>
            </w:pPr>
            <w:r w:rsidRPr="006006BD">
              <w:rPr>
                <w:rFonts w:ascii="Calibri" w:hAnsi="Calibri" w:cs="Calibri"/>
                <w:b/>
                <w:color w:val="auto"/>
                <w:sz w:val="22"/>
                <w:lang w:val="lv-LV"/>
              </w:rPr>
              <w:t>49</w:t>
            </w:r>
          </w:p>
        </w:tc>
      </w:tr>
      <w:tr w:rsidR="0034046E" w:rsidRPr="006006BD" w:rsidTr="0034046E">
        <w:tc>
          <w:tcPr>
            <w:tcW w:w="2836" w:type="dxa"/>
            <w:tcBorders>
              <w:top w:val="single" w:sz="4" w:space="0" w:color="auto"/>
              <w:bottom w:val="nil"/>
              <w:right w:val="single" w:sz="4" w:space="0" w:color="auto"/>
            </w:tcBorders>
          </w:tcPr>
          <w:p w:rsidR="003F3437" w:rsidRPr="006006BD"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both"/>
              <w:rPr>
                <w:rFonts w:ascii="Calibri" w:hAnsi="Calibri" w:cs="Calibri"/>
                <w:b/>
                <w:color w:val="auto"/>
                <w:sz w:val="22"/>
                <w:szCs w:val="22"/>
                <w:lang w:val="lv-LV"/>
              </w:rPr>
            </w:pPr>
            <w:r w:rsidRPr="006006BD">
              <w:rPr>
                <w:rFonts w:ascii="Calibri" w:hAnsi="Calibri" w:cs="Calibri"/>
                <w:color w:val="auto"/>
                <w:sz w:val="22"/>
                <w:szCs w:val="22"/>
                <w:lang w:val="lv-LV"/>
              </w:rPr>
              <w:t>Tendence</w:t>
            </w:r>
          </w:p>
        </w:tc>
        <w:tc>
          <w:tcPr>
            <w:tcW w:w="1276" w:type="dxa"/>
            <w:tcBorders>
              <w:top w:val="single" w:sz="4" w:space="0" w:color="auto"/>
              <w:left w:val="single" w:sz="4" w:space="0" w:color="auto"/>
              <w:bottom w:val="nil"/>
              <w:right w:val="single" w:sz="4" w:space="0" w:color="auto"/>
            </w:tcBorders>
          </w:tcPr>
          <w:p w:rsidR="003F3437" w:rsidRPr="006006BD"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Nemainīgs</w:t>
            </w:r>
          </w:p>
        </w:tc>
        <w:tc>
          <w:tcPr>
            <w:tcW w:w="1275" w:type="dxa"/>
            <w:tcBorders>
              <w:top w:val="single" w:sz="4" w:space="0" w:color="auto"/>
              <w:left w:val="single" w:sz="4" w:space="0" w:color="auto"/>
              <w:bottom w:val="nil"/>
              <w:right w:val="single" w:sz="4" w:space="0" w:color="auto"/>
            </w:tcBorders>
          </w:tcPr>
          <w:p w:rsidR="003F3437" w:rsidRPr="006006BD" w:rsidRDefault="0034046E"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Kritums</w:t>
            </w:r>
          </w:p>
        </w:tc>
        <w:tc>
          <w:tcPr>
            <w:tcW w:w="1276" w:type="dxa"/>
            <w:tcBorders>
              <w:top w:val="single" w:sz="4" w:space="0" w:color="auto"/>
              <w:left w:val="single" w:sz="4" w:space="0" w:color="auto"/>
              <w:bottom w:val="nil"/>
              <w:right w:val="single" w:sz="4" w:space="0" w:color="auto"/>
            </w:tcBorders>
          </w:tcPr>
          <w:p w:rsidR="003F3437" w:rsidRPr="006006BD" w:rsidRDefault="0034046E"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Kritums</w:t>
            </w:r>
          </w:p>
        </w:tc>
        <w:tc>
          <w:tcPr>
            <w:tcW w:w="1134" w:type="dxa"/>
            <w:tcBorders>
              <w:top w:val="single" w:sz="4" w:space="0" w:color="auto"/>
              <w:left w:val="single" w:sz="4" w:space="0" w:color="auto"/>
              <w:bottom w:val="nil"/>
              <w:right w:val="single" w:sz="4" w:space="0" w:color="auto"/>
            </w:tcBorders>
          </w:tcPr>
          <w:p w:rsidR="003F3437" w:rsidRPr="006006BD"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Kritums</w:t>
            </w:r>
          </w:p>
        </w:tc>
        <w:tc>
          <w:tcPr>
            <w:tcW w:w="1275" w:type="dxa"/>
            <w:tcBorders>
              <w:top w:val="single" w:sz="4" w:space="0" w:color="auto"/>
              <w:left w:val="single" w:sz="4" w:space="0" w:color="auto"/>
              <w:bottom w:val="nil"/>
              <w:right w:val="single" w:sz="4" w:space="0" w:color="auto"/>
            </w:tcBorders>
          </w:tcPr>
          <w:p w:rsidR="003F3437" w:rsidRPr="006006BD" w:rsidRDefault="0034046E"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Kritums</w:t>
            </w:r>
          </w:p>
        </w:tc>
        <w:tc>
          <w:tcPr>
            <w:tcW w:w="1276" w:type="dxa"/>
            <w:tcBorders>
              <w:top w:val="single" w:sz="4" w:space="0" w:color="auto"/>
              <w:left w:val="single" w:sz="4" w:space="0" w:color="auto"/>
              <w:bottom w:val="nil"/>
              <w:right w:val="nil"/>
            </w:tcBorders>
          </w:tcPr>
          <w:p w:rsidR="003F3437" w:rsidRPr="006006BD"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006BD">
              <w:rPr>
                <w:rFonts w:ascii="Calibri" w:hAnsi="Calibri" w:cs="Calibri"/>
                <w:b/>
                <w:color w:val="auto"/>
                <w:sz w:val="22"/>
                <w:szCs w:val="22"/>
                <w:lang w:val="lv-LV"/>
              </w:rPr>
              <w:t>Kritums</w:t>
            </w:r>
          </w:p>
        </w:tc>
      </w:tr>
    </w:tbl>
    <w:p w:rsidR="00595742" w:rsidRPr="006006BD" w:rsidRDefault="0034046E" w:rsidP="003F3437">
      <w:pPr>
        <w:spacing w:before="120"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lastRenderedPageBreak/>
        <w:t xml:space="preserve">Salīdzinot periodu 2004.-2019.gads, visās cietušo kategorijās ir vērojams cietušo skaita pakāpenisks samazinājums. </w:t>
      </w:r>
    </w:p>
    <w:p w:rsidR="003F3437" w:rsidRPr="006006BD" w:rsidRDefault="00B96FE1" w:rsidP="003F3437">
      <w:pPr>
        <w:spacing w:before="120"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Visvairāk negadījumi tiek reģistrēti</w:t>
      </w:r>
      <w:r w:rsidR="003F3437" w:rsidRPr="006006BD">
        <w:rPr>
          <w:rFonts w:ascii="Calibri" w:hAnsi="Calibri" w:cs="Calibri"/>
          <w:color w:val="auto"/>
          <w:sz w:val="22"/>
          <w:szCs w:val="22"/>
          <w:lang w:val="lv-LV"/>
        </w:rPr>
        <w:t xml:space="preserve"> ar pasažieru vilcieniem.  Līdzīgs sadalījums ir pa notikuma vietām – 50 % negadījumu reģistrēti stacijās un 49% notikuši ceļa posmos.  Vislielākais cietušo personu īpatsvars ir reģistrēts Rīgas aglomerācijas zonā, jo īpaši ceļa posmā Zasulauks-Priedaine (piepilsētas satiksme) un maršrutā Rīga – Krustpils (21% no kopējā negadījumu skaita), kur ir augsta vilcienu kustības intensitāte. </w:t>
      </w:r>
    </w:p>
    <w:p w:rsidR="003F3437" w:rsidRPr="006006BD" w:rsidRDefault="003F3437" w:rsidP="003F3437">
      <w:pPr>
        <w:spacing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 xml:space="preserve">Nopietnu negadījumu rašanās cēloņi var būt arī </w:t>
      </w:r>
      <w:r w:rsidRPr="006006BD">
        <w:rPr>
          <w:rFonts w:ascii="Calibri" w:hAnsi="Calibri" w:cs="Calibri"/>
          <w:b/>
          <w:color w:val="auto"/>
          <w:sz w:val="22"/>
          <w:szCs w:val="22"/>
          <w:lang w:val="lv-LV"/>
        </w:rPr>
        <w:t>tehniskie faktori</w:t>
      </w:r>
      <w:r w:rsidRPr="006006BD">
        <w:rPr>
          <w:rFonts w:ascii="Calibri" w:hAnsi="Calibri" w:cs="Calibri"/>
          <w:color w:val="auto"/>
          <w:sz w:val="22"/>
          <w:szCs w:val="22"/>
          <w:lang w:val="lv-LV"/>
        </w:rPr>
        <w:t>:</w:t>
      </w:r>
    </w:p>
    <w:p w:rsidR="003F3437" w:rsidRPr="006006BD" w:rsidRDefault="003F3437" w:rsidP="003F3437">
      <w:pPr>
        <w:pStyle w:val="ListParagraph"/>
        <w:numPr>
          <w:ilvl w:val="0"/>
          <w:numId w:val="4"/>
        </w:numPr>
        <w:spacing w:after="120"/>
        <w:jc w:val="both"/>
        <w:rPr>
          <w:rFonts w:ascii="Calibri" w:hAnsi="Calibri" w:cs="Calibri"/>
          <w:sz w:val="22"/>
          <w:szCs w:val="22"/>
        </w:rPr>
      </w:pPr>
      <w:r w:rsidRPr="006006BD">
        <w:rPr>
          <w:rFonts w:ascii="Calibri" w:hAnsi="Calibri" w:cs="Calibri"/>
          <w:b/>
          <w:sz w:val="22"/>
          <w:szCs w:val="22"/>
        </w:rPr>
        <w:t>infrastruktūra un tās aprīkojums</w:t>
      </w:r>
      <w:r w:rsidRPr="006006BD">
        <w:rPr>
          <w:rFonts w:ascii="Calibri" w:hAnsi="Calibri" w:cs="Calibri"/>
          <w:sz w:val="22"/>
          <w:szCs w:val="22"/>
        </w:rPr>
        <w:t xml:space="preserve"> – sliežu metināšanas kvalitāte;</w:t>
      </w:r>
    </w:p>
    <w:p w:rsidR="003F3437" w:rsidRPr="006006BD" w:rsidRDefault="003F3437" w:rsidP="003F3437">
      <w:pPr>
        <w:pStyle w:val="ListParagraph"/>
        <w:numPr>
          <w:ilvl w:val="0"/>
          <w:numId w:val="4"/>
        </w:numPr>
        <w:tabs>
          <w:tab w:val="left" w:pos="1134"/>
        </w:tabs>
        <w:spacing w:after="120"/>
        <w:ind w:left="0" w:firstLine="780"/>
        <w:jc w:val="both"/>
        <w:rPr>
          <w:rFonts w:ascii="Calibri" w:hAnsi="Calibri" w:cs="Calibri"/>
          <w:sz w:val="22"/>
          <w:szCs w:val="22"/>
        </w:rPr>
      </w:pPr>
      <w:r w:rsidRPr="006006BD">
        <w:rPr>
          <w:rFonts w:ascii="Calibri" w:hAnsi="Calibri" w:cs="Calibri"/>
          <w:b/>
          <w:sz w:val="22"/>
          <w:szCs w:val="22"/>
        </w:rPr>
        <w:t xml:space="preserve">ritošais sastāvs </w:t>
      </w:r>
      <w:r w:rsidRPr="006006BD">
        <w:rPr>
          <w:rFonts w:ascii="Calibri" w:hAnsi="Calibri" w:cs="Calibri"/>
          <w:sz w:val="22"/>
          <w:szCs w:val="22"/>
        </w:rPr>
        <w:t xml:space="preserve">– riteņu un riteņu ass lūzumi un bojājumi nereti noved pie nobraukšanas no sliedēm un arī infrastruktūras bojājumiem. </w:t>
      </w:r>
      <w:r w:rsidR="005E62B2">
        <w:rPr>
          <w:rFonts w:ascii="Calibri" w:hAnsi="Calibri" w:cs="Calibri"/>
          <w:sz w:val="22"/>
          <w:szCs w:val="22"/>
        </w:rPr>
        <w:t>I</w:t>
      </w:r>
      <w:r w:rsidRPr="006006BD">
        <w:rPr>
          <w:rFonts w:ascii="Calibri" w:hAnsi="Calibri" w:cs="Calibri"/>
          <w:sz w:val="22"/>
          <w:szCs w:val="22"/>
        </w:rPr>
        <w:t>r bijuši atsevišķi gadījumi, kad no trešām valstīm ienākošais ritošās sastāvs ir bijis bojāts un radīja risku</w:t>
      </w:r>
      <w:r w:rsidR="005E62B2">
        <w:rPr>
          <w:rFonts w:ascii="Calibri" w:hAnsi="Calibri" w:cs="Calibri"/>
          <w:sz w:val="22"/>
          <w:szCs w:val="22"/>
        </w:rPr>
        <w:t>s</w:t>
      </w:r>
      <w:r w:rsidRPr="006006BD">
        <w:rPr>
          <w:rFonts w:ascii="Calibri" w:hAnsi="Calibri" w:cs="Calibri"/>
          <w:sz w:val="22"/>
          <w:szCs w:val="22"/>
        </w:rPr>
        <w:t xml:space="preserve"> kustības drošībai;</w:t>
      </w:r>
    </w:p>
    <w:p w:rsidR="003F3437" w:rsidRPr="006006BD" w:rsidRDefault="003F3437" w:rsidP="003F3437">
      <w:pPr>
        <w:pStyle w:val="ListParagraph"/>
        <w:numPr>
          <w:ilvl w:val="0"/>
          <w:numId w:val="4"/>
        </w:numPr>
        <w:tabs>
          <w:tab w:val="left" w:pos="1134"/>
        </w:tabs>
        <w:spacing w:after="120"/>
        <w:ind w:left="0" w:firstLine="780"/>
        <w:jc w:val="both"/>
        <w:rPr>
          <w:rFonts w:ascii="Calibri" w:hAnsi="Calibri" w:cs="Calibri"/>
          <w:sz w:val="22"/>
          <w:szCs w:val="22"/>
        </w:rPr>
      </w:pPr>
      <w:r w:rsidRPr="006006BD">
        <w:rPr>
          <w:rFonts w:ascii="Calibri" w:hAnsi="Calibri" w:cs="Calibri"/>
          <w:b/>
          <w:sz w:val="22"/>
          <w:szCs w:val="22"/>
        </w:rPr>
        <w:t xml:space="preserve">drošības aprīkojums </w:t>
      </w:r>
      <w:r w:rsidRPr="006006BD">
        <w:rPr>
          <w:rFonts w:ascii="Calibri" w:hAnsi="Calibri" w:cs="Calibri"/>
          <w:sz w:val="22"/>
          <w:szCs w:val="22"/>
        </w:rPr>
        <w:t>– teritorijas norobežošana, pāreju tehniskais aprīkojums, u.c.</w:t>
      </w:r>
    </w:p>
    <w:p w:rsidR="003F3437" w:rsidRPr="006006BD" w:rsidRDefault="003F3437" w:rsidP="003F3437">
      <w:pPr>
        <w:pStyle w:val="ListParagraph"/>
        <w:numPr>
          <w:ilvl w:val="0"/>
          <w:numId w:val="4"/>
        </w:numPr>
        <w:spacing w:after="120"/>
        <w:jc w:val="both"/>
        <w:rPr>
          <w:rFonts w:ascii="Calibri" w:hAnsi="Calibri" w:cs="Calibri"/>
          <w:sz w:val="22"/>
          <w:szCs w:val="22"/>
        </w:rPr>
      </w:pPr>
      <w:r w:rsidRPr="006006BD">
        <w:rPr>
          <w:rFonts w:ascii="Calibri" w:hAnsi="Calibri" w:cs="Calibri"/>
          <w:b/>
          <w:sz w:val="22"/>
          <w:szCs w:val="22"/>
        </w:rPr>
        <w:t>kustības organizācija.</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B96FE1" w:rsidRPr="00FF6BC6" w:rsidTr="006E08C3">
        <w:tc>
          <w:tcPr>
            <w:tcW w:w="421" w:type="dxa"/>
            <w:shd w:val="clear" w:color="auto" w:fill="D9D9D9" w:themeFill="background1" w:themeFillShade="D9"/>
          </w:tcPr>
          <w:p w:rsidR="00B96FE1" w:rsidRPr="006006BD" w:rsidRDefault="00B96FE1" w:rsidP="006E08C3">
            <w:pPr>
              <w:spacing w:after="0" w:line="240" w:lineRule="auto"/>
              <w:jc w:val="both"/>
              <w:rPr>
                <w:rFonts w:cstheme="minorHAnsi"/>
                <w:b/>
                <w:bCs/>
                <w:color w:val="auto"/>
                <w:sz w:val="22"/>
                <w:szCs w:val="22"/>
                <w:lang w:val="lv-LV"/>
              </w:rPr>
            </w:pPr>
            <w:r w:rsidRPr="006006BD">
              <w:rPr>
                <w:rFonts w:cstheme="minorHAnsi"/>
                <w:b/>
                <w:bCs/>
                <w:color w:val="FF0000"/>
                <w:sz w:val="44"/>
                <w:szCs w:val="22"/>
                <w:lang w:val="lv-LV"/>
              </w:rPr>
              <w:t>!</w:t>
            </w:r>
          </w:p>
        </w:tc>
        <w:tc>
          <w:tcPr>
            <w:tcW w:w="9218" w:type="dxa"/>
            <w:shd w:val="clear" w:color="auto" w:fill="D9D9D9" w:themeFill="background1" w:themeFillShade="D9"/>
            <w:vAlign w:val="center"/>
          </w:tcPr>
          <w:p w:rsidR="00B96FE1" w:rsidRPr="006006BD" w:rsidRDefault="00B96FE1" w:rsidP="00135DAA">
            <w:pPr>
              <w:spacing w:after="120" w:line="240" w:lineRule="auto"/>
              <w:jc w:val="both"/>
              <w:rPr>
                <w:rFonts w:cstheme="minorHAnsi"/>
                <w:bCs/>
                <w:i/>
                <w:sz w:val="22"/>
                <w:szCs w:val="22"/>
                <w:lang w:val="lv-LV"/>
              </w:rPr>
            </w:pPr>
            <w:r w:rsidRPr="006006BD">
              <w:rPr>
                <w:rFonts w:ascii="Calibri" w:hAnsi="Calibri" w:cs="Calibri"/>
                <w:i/>
                <w:iCs/>
                <w:color w:val="auto"/>
                <w:sz w:val="22"/>
                <w:szCs w:val="22"/>
                <w:lang w:val="lv-LV"/>
              </w:rPr>
              <w:t xml:space="preserve">Analizējot </w:t>
            </w:r>
            <w:r w:rsidR="00135DAA">
              <w:rPr>
                <w:rFonts w:ascii="Calibri" w:hAnsi="Calibri" w:cs="Calibri"/>
                <w:i/>
                <w:iCs/>
                <w:color w:val="auto"/>
                <w:sz w:val="22"/>
                <w:szCs w:val="22"/>
                <w:lang w:val="lv-LV"/>
              </w:rPr>
              <w:t xml:space="preserve">prekursorus (atsevišķus </w:t>
            </w:r>
            <w:r w:rsidRPr="006006BD">
              <w:rPr>
                <w:rFonts w:ascii="Calibri" w:hAnsi="Calibri" w:cs="Calibri"/>
                <w:i/>
                <w:iCs/>
                <w:color w:val="auto"/>
                <w:sz w:val="22"/>
                <w:szCs w:val="22"/>
                <w:lang w:val="lv-LV"/>
              </w:rPr>
              <w:t>dzelzceļa satiksmes drošības pārkāpumus</w:t>
            </w:r>
            <w:r w:rsidR="00135DAA">
              <w:rPr>
                <w:rFonts w:ascii="Calibri" w:hAnsi="Calibri" w:cs="Calibri"/>
                <w:i/>
                <w:iCs/>
                <w:color w:val="auto"/>
                <w:sz w:val="22"/>
                <w:szCs w:val="22"/>
                <w:lang w:val="lv-LV"/>
              </w:rPr>
              <w:t>)</w:t>
            </w:r>
            <w:r w:rsidRPr="006006BD">
              <w:rPr>
                <w:rFonts w:ascii="Calibri" w:hAnsi="Calibri" w:cs="Calibri"/>
                <w:i/>
                <w:iCs/>
                <w:color w:val="auto"/>
                <w:sz w:val="22"/>
                <w:szCs w:val="22"/>
                <w:lang w:val="lv-LV"/>
              </w:rPr>
              <w:t xml:space="preserve"> – arī ir novērojama pakāpeniska </w:t>
            </w:r>
            <w:r w:rsidR="00BA65D2">
              <w:rPr>
                <w:rFonts w:ascii="Calibri" w:hAnsi="Calibri" w:cs="Calibri"/>
                <w:i/>
                <w:iCs/>
                <w:color w:val="auto"/>
                <w:sz w:val="22"/>
                <w:szCs w:val="22"/>
                <w:lang w:val="lv-LV"/>
              </w:rPr>
              <w:t xml:space="preserve">to </w:t>
            </w:r>
            <w:r w:rsidRPr="006006BD">
              <w:rPr>
                <w:rFonts w:ascii="Calibri" w:hAnsi="Calibri" w:cs="Calibri"/>
                <w:i/>
                <w:iCs/>
                <w:color w:val="auto"/>
                <w:sz w:val="22"/>
                <w:szCs w:val="22"/>
                <w:lang w:val="lv-LV"/>
              </w:rPr>
              <w:t>skaita samazināšanās. Bet  ir identificēti riski, kas saistīti ar problēmām ar kustības drošību atsevišķos publiskās lietošanas dzelzceļa infrastruktūras iecirkņos.</w:t>
            </w:r>
          </w:p>
        </w:tc>
      </w:tr>
    </w:tbl>
    <w:p w:rsidR="00B96FE1" w:rsidRPr="006006BD" w:rsidRDefault="00A97DF7" w:rsidP="003F3437">
      <w:pPr>
        <w:spacing w:after="120" w:line="240" w:lineRule="auto"/>
        <w:ind w:firstLine="720"/>
        <w:jc w:val="both"/>
        <w:rPr>
          <w:rFonts w:ascii="Calibri" w:hAnsi="Calibri" w:cs="Calibri"/>
          <w:color w:val="auto"/>
          <w:sz w:val="22"/>
          <w:szCs w:val="22"/>
          <w:lang w:val="lv-LV"/>
        </w:rPr>
      </w:pPr>
      <w:r w:rsidRPr="006006BD">
        <w:rPr>
          <w:noProof/>
          <w:lang w:val="lv-LV" w:eastAsia="lv-LV"/>
        </w:rPr>
        <w:drawing>
          <wp:anchor distT="0" distB="0" distL="114300" distR="114300" simplePos="0" relativeHeight="251673600" behindDoc="0" locked="0" layoutInCell="1" allowOverlap="1">
            <wp:simplePos x="0" y="0"/>
            <wp:positionH relativeFrom="margin">
              <wp:align>right</wp:align>
            </wp:positionH>
            <wp:positionV relativeFrom="paragraph">
              <wp:posOffset>205740</wp:posOffset>
            </wp:positionV>
            <wp:extent cx="6120130" cy="2127250"/>
            <wp:effectExtent l="0" t="0" r="0" b="635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6006BD" w:rsidRPr="006006BD" w:rsidRDefault="00463138" w:rsidP="006006BD">
      <w:pPr>
        <w:spacing w:before="120" w:after="0" w:line="240" w:lineRule="auto"/>
        <w:ind w:firstLine="720"/>
        <w:jc w:val="both"/>
        <w:rPr>
          <w:rFonts w:ascii="Calibri" w:hAnsi="Calibri" w:cs="Calibri"/>
          <w:noProof/>
          <w:color w:val="auto"/>
          <w:sz w:val="22"/>
          <w:lang w:val="lv-LV" w:eastAsia="lv-LV"/>
        </w:rPr>
      </w:pPr>
      <w:r w:rsidRPr="006006BD">
        <w:rPr>
          <w:rFonts w:ascii="Calibri" w:hAnsi="Calibri" w:cs="Calibri"/>
          <w:b/>
          <w:noProof/>
          <w:color w:val="auto"/>
          <w:sz w:val="22"/>
          <w:lang w:val="lv-LV" w:eastAsia="lv-LV"/>
        </w:rPr>
        <w:t>2019.gadā re</w:t>
      </w:r>
      <w:r w:rsidR="006006BD" w:rsidRPr="006006BD">
        <w:rPr>
          <w:rFonts w:ascii="Calibri" w:hAnsi="Calibri" w:cs="Calibri"/>
          <w:b/>
          <w:noProof/>
          <w:color w:val="auto"/>
          <w:sz w:val="22"/>
          <w:lang w:val="lv-LV" w:eastAsia="lv-LV"/>
        </w:rPr>
        <w:t xml:space="preserve">ģistrēti 5 </w:t>
      </w:r>
      <w:r w:rsidR="00135DAA">
        <w:rPr>
          <w:rFonts w:ascii="Calibri" w:hAnsi="Calibri" w:cs="Calibri"/>
          <w:b/>
          <w:noProof/>
          <w:color w:val="auto"/>
          <w:sz w:val="22"/>
          <w:lang w:val="lv-LV" w:eastAsia="lv-LV"/>
        </w:rPr>
        <w:t>prekur</w:t>
      </w:r>
      <w:r w:rsidR="00BA65D2">
        <w:rPr>
          <w:rFonts w:ascii="Calibri" w:hAnsi="Calibri" w:cs="Calibri"/>
          <w:b/>
          <w:noProof/>
          <w:color w:val="auto"/>
          <w:sz w:val="22"/>
          <w:lang w:val="lv-LV" w:eastAsia="lv-LV"/>
        </w:rPr>
        <w:t>s</w:t>
      </w:r>
      <w:r w:rsidR="00135DAA">
        <w:rPr>
          <w:rFonts w:ascii="Calibri" w:hAnsi="Calibri" w:cs="Calibri"/>
          <w:b/>
          <w:noProof/>
          <w:color w:val="auto"/>
          <w:sz w:val="22"/>
          <w:lang w:val="lv-LV" w:eastAsia="lv-LV"/>
        </w:rPr>
        <w:t>o</w:t>
      </w:r>
      <w:r w:rsidR="00BA65D2">
        <w:rPr>
          <w:rFonts w:ascii="Calibri" w:hAnsi="Calibri" w:cs="Calibri"/>
          <w:b/>
          <w:noProof/>
          <w:color w:val="auto"/>
          <w:sz w:val="22"/>
          <w:lang w:val="lv-LV" w:eastAsia="lv-LV"/>
        </w:rPr>
        <w:t>r</w:t>
      </w:r>
      <w:r w:rsidR="00135DAA">
        <w:rPr>
          <w:rFonts w:ascii="Calibri" w:hAnsi="Calibri" w:cs="Calibri"/>
          <w:b/>
          <w:noProof/>
          <w:color w:val="auto"/>
          <w:sz w:val="22"/>
          <w:lang w:val="lv-LV" w:eastAsia="lv-LV"/>
        </w:rPr>
        <w:t>i (</w:t>
      </w:r>
      <w:r w:rsidR="006006BD" w:rsidRPr="006006BD">
        <w:rPr>
          <w:rFonts w:ascii="Calibri" w:hAnsi="Calibri" w:cs="Calibri"/>
          <w:b/>
          <w:noProof/>
          <w:color w:val="auto"/>
          <w:sz w:val="22"/>
          <w:lang w:val="lv-LV" w:eastAsia="lv-LV"/>
        </w:rPr>
        <w:t>dzelzceļa satiksmes drošības pārkāpumi</w:t>
      </w:r>
      <w:r w:rsidR="00135DAA">
        <w:rPr>
          <w:rFonts w:ascii="Calibri" w:hAnsi="Calibri" w:cs="Calibri"/>
          <w:b/>
          <w:noProof/>
          <w:color w:val="auto"/>
          <w:sz w:val="22"/>
          <w:lang w:val="lv-LV" w:eastAsia="lv-LV"/>
        </w:rPr>
        <w:t>)</w:t>
      </w:r>
      <w:r w:rsidR="00E83E3A">
        <w:rPr>
          <w:rFonts w:ascii="Calibri" w:hAnsi="Calibri" w:cs="Calibri"/>
          <w:b/>
          <w:noProof/>
          <w:color w:val="auto"/>
          <w:sz w:val="22"/>
          <w:lang w:val="lv-LV" w:eastAsia="lv-LV"/>
        </w:rPr>
        <w:t>, kuru rašanās cēloņi bija tehniskie faktori</w:t>
      </w:r>
      <w:r w:rsidR="003F3437" w:rsidRPr="006006BD">
        <w:rPr>
          <w:rFonts w:ascii="Calibri" w:hAnsi="Calibri" w:cs="Calibri"/>
          <w:noProof/>
          <w:color w:val="auto"/>
          <w:sz w:val="22"/>
          <w:lang w:val="lv-LV" w:eastAsia="lv-LV"/>
        </w:rPr>
        <w:t xml:space="preserve">. </w:t>
      </w:r>
      <w:r w:rsidR="00507D8C">
        <w:rPr>
          <w:rFonts w:ascii="Calibri" w:hAnsi="Calibri" w:cs="Calibri"/>
          <w:noProof/>
          <w:color w:val="auto"/>
          <w:sz w:val="22"/>
          <w:lang w:val="lv-LV" w:eastAsia="lv-LV"/>
        </w:rPr>
        <w:t xml:space="preserve">Reģistrētiem pārkāpumiem nav bijušas nopietnas sekas. </w:t>
      </w:r>
    </w:p>
    <w:p w:rsidR="006006BD" w:rsidRPr="006006BD" w:rsidRDefault="006006BD" w:rsidP="006006BD">
      <w:pPr>
        <w:spacing w:before="120" w:after="0" w:line="240" w:lineRule="auto"/>
        <w:ind w:firstLine="720"/>
        <w:jc w:val="both"/>
        <w:rPr>
          <w:rFonts w:ascii="Calibri" w:hAnsi="Calibri" w:cs="Calibri"/>
          <w:color w:val="auto"/>
          <w:sz w:val="22"/>
          <w:szCs w:val="22"/>
          <w:lang w:val="lv-LV"/>
        </w:rPr>
      </w:pPr>
      <w:r w:rsidRPr="006006BD">
        <w:rPr>
          <w:rFonts w:ascii="Calibri" w:hAnsi="Calibri" w:cs="Calibri"/>
          <w:noProof/>
          <w:color w:val="auto"/>
          <w:sz w:val="22"/>
          <w:lang w:val="lv-LV" w:eastAsia="lv-LV"/>
        </w:rPr>
        <w:t xml:space="preserve">Lielāko negadījumu daļu veido sliežu lūzumi, kas ir saistāms </w:t>
      </w:r>
      <w:r w:rsidR="00BA65D2">
        <w:rPr>
          <w:rFonts w:ascii="Calibri" w:hAnsi="Calibri" w:cs="Calibri"/>
          <w:noProof/>
          <w:color w:val="auto"/>
          <w:sz w:val="22"/>
          <w:lang w:val="lv-LV" w:eastAsia="lv-LV"/>
        </w:rPr>
        <w:t xml:space="preserve">ar </w:t>
      </w:r>
      <w:r w:rsidRPr="006006BD">
        <w:rPr>
          <w:rFonts w:ascii="Calibri" w:hAnsi="Calibri" w:cs="Calibri"/>
          <w:noProof/>
          <w:color w:val="auto"/>
          <w:sz w:val="22"/>
          <w:lang w:val="lv-LV" w:eastAsia="lv-LV"/>
        </w:rPr>
        <w:t>laika apstākļu ietekmi, piemēram strauji atkušņi, pēkšņa sala iestāšanās</w:t>
      </w:r>
      <w:r w:rsidR="005E62B2" w:rsidRPr="005E62B2">
        <w:rPr>
          <w:rFonts w:ascii="Calibri" w:hAnsi="Calibri" w:cs="Calibri"/>
          <w:noProof/>
          <w:color w:val="auto"/>
          <w:sz w:val="22"/>
          <w:lang w:val="lv-LV" w:eastAsia="lv-LV"/>
        </w:rPr>
        <w:t xml:space="preserve"> </w:t>
      </w:r>
      <w:r w:rsidR="00233705">
        <w:rPr>
          <w:rFonts w:ascii="Calibri" w:hAnsi="Calibri" w:cs="Calibri"/>
          <w:noProof/>
          <w:color w:val="auto"/>
          <w:sz w:val="22"/>
          <w:lang w:val="lv-LV" w:eastAsia="lv-LV"/>
        </w:rPr>
        <w:t xml:space="preserve">un </w:t>
      </w:r>
      <w:r w:rsidR="005E62B2" w:rsidRPr="006006BD">
        <w:rPr>
          <w:rFonts w:ascii="Calibri" w:hAnsi="Calibri" w:cs="Calibri"/>
          <w:color w:val="auto"/>
          <w:sz w:val="22"/>
          <w:szCs w:val="22"/>
          <w:lang w:val="lv-LV"/>
        </w:rPr>
        <w:t>metināšanas procedūr</w:t>
      </w:r>
      <w:r w:rsidR="00233705">
        <w:rPr>
          <w:rFonts w:ascii="Calibri" w:hAnsi="Calibri" w:cs="Calibri"/>
          <w:color w:val="auto"/>
          <w:sz w:val="22"/>
          <w:szCs w:val="22"/>
          <w:lang w:val="lv-LV"/>
        </w:rPr>
        <w:t xml:space="preserve">u </w:t>
      </w:r>
      <w:r w:rsidR="005E62B2" w:rsidRPr="006006BD">
        <w:rPr>
          <w:rFonts w:ascii="Calibri" w:hAnsi="Calibri" w:cs="Calibri"/>
          <w:color w:val="auto"/>
          <w:sz w:val="22"/>
          <w:szCs w:val="22"/>
          <w:lang w:val="lv-LV"/>
        </w:rPr>
        <w:t>ievērošan</w:t>
      </w:r>
      <w:r w:rsidR="00BA65D2">
        <w:rPr>
          <w:rFonts w:ascii="Calibri" w:hAnsi="Calibri" w:cs="Calibri"/>
          <w:color w:val="auto"/>
          <w:sz w:val="22"/>
          <w:szCs w:val="22"/>
          <w:lang w:val="lv-LV"/>
        </w:rPr>
        <w:t>a</w:t>
      </w:r>
      <w:r w:rsidRPr="006006BD">
        <w:rPr>
          <w:rFonts w:ascii="Calibri" w:hAnsi="Calibri" w:cs="Calibri"/>
          <w:noProof/>
          <w:color w:val="auto"/>
          <w:sz w:val="22"/>
          <w:lang w:val="lv-LV" w:eastAsia="lv-LV"/>
        </w:rPr>
        <w:t xml:space="preserve">. </w:t>
      </w:r>
      <w:r w:rsidRPr="006006BD">
        <w:rPr>
          <w:rFonts w:ascii="Calibri" w:hAnsi="Calibri" w:cs="Calibri"/>
          <w:color w:val="auto"/>
          <w:sz w:val="22"/>
          <w:szCs w:val="22"/>
          <w:lang w:val="lv-LV"/>
        </w:rPr>
        <w:t>Sliežu lūzumi ir arī saistāmi</w:t>
      </w:r>
      <w:r w:rsidR="00233705">
        <w:rPr>
          <w:rFonts w:ascii="Calibri" w:hAnsi="Calibri" w:cs="Calibri"/>
          <w:color w:val="auto"/>
          <w:sz w:val="22"/>
          <w:szCs w:val="22"/>
          <w:lang w:val="lv-LV"/>
        </w:rPr>
        <w:t xml:space="preserve"> ar </w:t>
      </w:r>
      <w:r w:rsidR="005E62B2">
        <w:rPr>
          <w:rFonts w:ascii="Calibri" w:hAnsi="Calibri" w:cs="Calibri"/>
          <w:color w:val="auto"/>
          <w:sz w:val="22"/>
          <w:szCs w:val="22"/>
          <w:lang w:val="lv-LV"/>
        </w:rPr>
        <w:t>ritošā sastāva riteņu ģeometrijas defektiem.</w:t>
      </w:r>
      <w:r w:rsidRPr="006006BD">
        <w:rPr>
          <w:rFonts w:ascii="Calibri" w:hAnsi="Calibri" w:cs="Calibri"/>
          <w:color w:val="auto"/>
          <w:sz w:val="22"/>
          <w:szCs w:val="22"/>
          <w:lang w:val="lv-LV"/>
        </w:rPr>
        <w:t xml:space="preserve">  Sliežu ceļu ģeometrijas novirzes </w:t>
      </w:r>
      <w:r w:rsidR="00BA65D2">
        <w:rPr>
          <w:rFonts w:ascii="Calibri" w:hAnsi="Calibri" w:cs="Calibri"/>
          <w:color w:val="auto"/>
          <w:sz w:val="22"/>
          <w:szCs w:val="22"/>
          <w:lang w:val="lv-LV"/>
        </w:rPr>
        <w:t xml:space="preserve">arī </w:t>
      </w:r>
      <w:r w:rsidRPr="006006BD">
        <w:rPr>
          <w:rFonts w:ascii="Calibri" w:hAnsi="Calibri" w:cs="Calibri"/>
          <w:color w:val="auto"/>
          <w:sz w:val="22"/>
          <w:szCs w:val="22"/>
          <w:lang w:val="lv-LV"/>
        </w:rPr>
        <w:t xml:space="preserve">ir saistāmas ar </w:t>
      </w:r>
      <w:r w:rsidR="00233705">
        <w:rPr>
          <w:rFonts w:ascii="Calibri" w:hAnsi="Calibri" w:cs="Calibri"/>
          <w:color w:val="auto"/>
          <w:sz w:val="22"/>
          <w:szCs w:val="22"/>
          <w:lang w:val="lv-LV"/>
        </w:rPr>
        <w:t>ne</w:t>
      </w:r>
      <w:r w:rsidRPr="006006BD">
        <w:rPr>
          <w:rFonts w:ascii="Calibri" w:hAnsi="Calibri" w:cs="Calibri"/>
          <w:color w:val="auto"/>
          <w:sz w:val="22"/>
          <w:szCs w:val="22"/>
          <w:lang w:val="lv-LV"/>
        </w:rPr>
        <w:t xml:space="preserve">labvēlīgiem laika apstākļiem. No 2010.gada nav reģistrēts neviens vairāk atļaujošās signāluguns ieslēgšanās </w:t>
      </w:r>
      <w:r w:rsidR="00233705">
        <w:rPr>
          <w:rFonts w:ascii="Calibri" w:hAnsi="Calibri" w:cs="Calibri"/>
          <w:color w:val="auto"/>
          <w:sz w:val="22"/>
          <w:szCs w:val="22"/>
          <w:lang w:val="lv-LV"/>
        </w:rPr>
        <w:t xml:space="preserve">gadījums </w:t>
      </w:r>
      <w:r w:rsidRPr="006006BD">
        <w:rPr>
          <w:rFonts w:ascii="Calibri" w:hAnsi="Calibri" w:cs="Calibri"/>
          <w:color w:val="auto"/>
          <w:sz w:val="22"/>
          <w:szCs w:val="22"/>
          <w:lang w:val="lv-LV"/>
        </w:rPr>
        <w:t xml:space="preserve">aizliedzošā vietā.  </w:t>
      </w:r>
      <w:r w:rsidR="00507D8C">
        <w:rPr>
          <w:rFonts w:ascii="Calibri" w:hAnsi="Calibri" w:cs="Calibri"/>
          <w:color w:val="auto"/>
          <w:sz w:val="22"/>
          <w:szCs w:val="22"/>
          <w:lang w:val="lv-LV"/>
        </w:rPr>
        <w:t>Otrs lielākais pārkāpumu skaits ir pa</w:t>
      </w:r>
      <w:r w:rsidR="00507D8C" w:rsidRPr="006006BD">
        <w:rPr>
          <w:rFonts w:ascii="Calibri" w:hAnsi="Calibri" w:cs="Calibri"/>
          <w:color w:val="auto"/>
          <w:sz w:val="22"/>
          <w:szCs w:val="22"/>
          <w:lang w:val="lv-LV"/>
        </w:rPr>
        <w:t>braukšana garām aizliedzošajam signālam</w:t>
      </w:r>
      <w:r w:rsidR="00507D8C">
        <w:rPr>
          <w:rFonts w:ascii="Calibri" w:hAnsi="Calibri" w:cs="Calibri"/>
          <w:color w:val="auto"/>
          <w:sz w:val="22"/>
          <w:szCs w:val="22"/>
          <w:lang w:val="lv-LV"/>
        </w:rPr>
        <w:t>.  Šie gadījumi</w:t>
      </w:r>
      <w:r w:rsidRPr="006006BD">
        <w:rPr>
          <w:rFonts w:ascii="Calibri" w:hAnsi="Calibri" w:cs="Calibri"/>
          <w:color w:val="auto"/>
          <w:sz w:val="22"/>
          <w:szCs w:val="22"/>
          <w:lang w:val="lv-LV"/>
        </w:rPr>
        <w:t xml:space="preserve"> gadu no gada mainās, kas </w:t>
      </w:r>
      <w:r w:rsidR="00233705">
        <w:rPr>
          <w:rFonts w:ascii="Calibri" w:hAnsi="Calibri" w:cs="Calibri"/>
          <w:color w:val="auto"/>
          <w:sz w:val="22"/>
          <w:szCs w:val="22"/>
          <w:lang w:val="lv-LV"/>
        </w:rPr>
        <w:t xml:space="preserve">ir cieši saistāms ar </w:t>
      </w:r>
      <w:r w:rsidR="00AD6975">
        <w:rPr>
          <w:rFonts w:ascii="Calibri" w:hAnsi="Calibri" w:cs="Calibri"/>
          <w:color w:val="auto"/>
          <w:sz w:val="22"/>
          <w:szCs w:val="22"/>
          <w:lang w:val="lv-LV"/>
        </w:rPr>
        <w:t>cilvēka personīgiem</w:t>
      </w:r>
      <w:r w:rsidR="00806C8F">
        <w:rPr>
          <w:rFonts w:ascii="Calibri" w:hAnsi="Calibri" w:cs="Calibri"/>
          <w:color w:val="auto"/>
          <w:sz w:val="22"/>
          <w:szCs w:val="22"/>
          <w:lang w:val="lv-LV"/>
        </w:rPr>
        <w:t xml:space="preserve"> </w:t>
      </w:r>
      <w:r w:rsidR="00233705">
        <w:rPr>
          <w:rFonts w:ascii="Calibri" w:hAnsi="Calibri" w:cs="Calibri"/>
          <w:color w:val="auto"/>
          <w:sz w:val="22"/>
          <w:szCs w:val="22"/>
          <w:lang w:val="lv-LV"/>
        </w:rPr>
        <w:t xml:space="preserve">un </w:t>
      </w:r>
      <w:r w:rsidRPr="006006BD">
        <w:rPr>
          <w:rFonts w:ascii="Calibri" w:hAnsi="Calibri" w:cs="Calibri"/>
          <w:color w:val="auto"/>
          <w:sz w:val="22"/>
          <w:szCs w:val="22"/>
          <w:lang w:val="lv-LV"/>
        </w:rPr>
        <w:t xml:space="preserve">organizācijas faktoriem. </w:t>
      </w:r>
    </w:p>
    <w:p w:rsidR="006006BD" w:rsidRPr="006006BD" w:rsidRDefault="006006BD" w:rsidP="006006BD">
      <w:pPr>
        <w:spacing w:after="0" w:line="240" w:lineRule="auto"/>
        <w:ind w:firstLine="720"/>
        <w:jc w:val="both"/>
        <w:rPr>
          <w:rFonts w:ascii="Calibri" w:hAnsi="Calibri" w:cs="Calibri"/>
          <w:noProof/>
          <w:color w:val="auto"/>
          <w:sz w:val="22"/>
          <w:lang w:val="lv-LV" w:eastAsia="lv-LV"/>
        </w:rPr>
      </w:pPr>
      <w:r w:rsidRPr="006006BD">
        <w:rPr>
          <w:noProof/>
          <w:lang w:val="lv-LV" w:eastAsia="lv-LV"/>
        </w:rPr>
        <w:drawing>
          <wp:anchor distT="0" distB="0" distL="114300" distR="114300" simplePos="0" relativeHeight="251675648" behindDoc="0" locked="0" layoutInCell="1" allowOverlap="1" wp14:anchorId="26F36361" wp14:editId="25635445">
            <wp:simplePos x="0" y="0"/>
            <wp:positionH relativeFrom="column">
              <wp:posOffset>0</wp:posOffset>
            </wp:positionH>
            <wp:positionV relativeFrom="paragraph">
              <wp:posOffset>171450</wp:posOffset>
            </wp:positionV>
            <wp:extent cx="6120130" cy="2096135"/>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3F3437" w:rsidRPr="006006BD" w:rsidRDefault="003F3437" w:rsidP="006006BD">
      <w:pPr>
        <w:spacing w:after="0" w:line="240" w:lineRule="auto"/>
        <w:ind w:firstLine="720"/>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lastRenderedPageBreak/>
        <w:t xml:space="preserve">Dzelzceļa satiksmes drošības </w:t>
      </w:r>
      <w:r w:rsidRPr="006006BD">
        <w:rPr>
          <w:rFonts w:ascii="Calibri" w:hAnsi="Calibri" w:cs="Calibri"/>
          <w:b/>
          <w:noProof/>
          <w:color w:val="auto"/>
          <w:sz w:val="22"/>
          <w:lang w:val="lv-LV" w:eastAsia="lv-LV"/>
        </w:rPr>
        <w:t>pārkāpumu cēloņi ir</w:t>
      </w:r>
      <w:r w:rsidRPr="006006BD">
        <w:rPr>
          <w:rFonts w:ascii="Calibri" w:hAnsi="Calibri" w:cs="Calibri"/>
          <w:noProof/>
          <w:color w:val="auto"/>
          <w:sz w:val="22"/>
          <w:lang w:val="lv-LV" w:eastAsia="lv-LV"/>
        </w:rPr>
        <w:t>:</w:t>
      </w:r>
    </w:p>
    <w:p w:rsidR="003F3437" w:rsidRPr="006006BD" w:rsidRDefault="003F3437" w:rsidP="00507D8C">
      <w:pPr>
        <w:spacing w:after="0" w:line="240" w:lineRule="auto"/>
        <w:ind w:firstLine="851"/>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t xml:space="preserve"> - </w:t>
      </w:r>
      <w:r w:rsidRPr="006006BD">
        <w:rPr>
          <w:rFonts w:ascii="Calibri" w:hAnsi="Calibri" w:cs="Calibri"/>
          <w:b/>
          <w:noProof/>
          <w:color w:val="auto"/>
          <w:sz w:val="22"/>
          <w:lang w:val="lv-LV" w:eastAsia="lv-LV"/>
        </w:rPr>
        <w:t>cilvēka personīgie faktori</w:t>
      </w:r>
      <w:r w:rsidR="007A2E40">
        <w:rPr>
          <w:rFonts w:ascii="Calibri" w:hAnsi="Calibri" w:cs="Calibri"/>
          <w:noProof/>
          <w:color w:val="auto"/>
          <w:sz w:val="22"/>
          <w:lang w:val="lv-LV" w:eastAsia="lv-LV"/>
        </w:rPr>
        <w:t xml:space="preserve"> - nogurums, neuzmanība, droš</w:t>
      </w:r>
      <w:r w:rsidRPr="006006BD">
        <w:rPr>
          <w:rFonts w:ascii="Calibri" w:hAnsi="Calibri" w:cs="Calibri"/>
          <w:noProof/>
          <w:color w:val="auto"/>
          <w:sz w:val="22"/>
          <w:lang w:val="lv-LV" w:eastAsia="lv-LV"/>
        </w:rPr>
        <w:t>ības prasību neievērošana, komunikācija</w:t>
      </w:r>
      <w:r w:rsidR="00233705">
        <w:rPr>
          <w:rFonts w:ascii="Calibri" w:hAnsi="Calibri" w:cs="Calibri"/>
          <w:noProof/>
          <w:color w:val="auto"/>
          <w:sz w:val="22"/>
          <w:lang w:val="lv-LV" w:eastAsia="lv-LV"/>
        </w:rPr>
        <w:t>s kļūda</w:t>
      </w:r>
      <w:r w:rsidRPr="006006BD">
        <w:rPr>
          <w:rFonts w:ascii="Calibri" w:hAnsi="Calibri" w:cs="Calibri"/>
          <w:noProof/>
          <w:color w:val="auto"/>
          <w:sz w:val="22"/>
          <w:lang w:val="lv-LV" w:eastAsia="lv-LV"/>
        </w:rPr>
        <w:t>;</w:t>
      </w:r>
    </w:p>
    <w:p w:rsidR="003F3437" w:rsidRPr="006006BD" w:rsidRDefault="003F3437" w:rsidP="00507D8C">
      <w:pPr>
        <w:spacing w:after="0" w:line="240" w:lineRule="auto"/>
        <w:ind w:firstLine="851"/>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t xml:space="preserve"> </w:t>
      </w:r>
      <w:r w:rsidR="007A2E40">
        <w:rPr>
          <w:rFonts w:ascii="Calibri" w:hAnsi="Calibri" w:cs="Calibri"/>
          <w:noProof/>
          <w:color w:val="auto"/>
          <w:sz w:val="22"/>
          <w:lang w:val="lv-LV" w:eastAsia="lv-LV"/>
        </w:rPr>
        <w:t>- </w:t>
      </w:r>
      <w:r w:rsidRPr="006006BD">
        <w:rPr>
          <w:rFonts w:ascii="Calibri" w:hAnsi="Calibri" w:cs="Calibri"/>
          <w:b/>
          <w:noProof/>
          <w:color w:val="auto"/>
          <w:sz w:val="22"/>
          <w:lang w:val="lv-LV" w:eastAsia="lv-LV"/>
        </w:rPr>
        <w:t>organizācijas faktori</w:t>
      </w:r>
      <w:r w:rsidRPr="006006BD">
        <w:rPr>
          <w:rFonts w:ascii="Calibri" w:hAnsi="Calibri" w:cs="Calibri"/>
          <w:noProof/>
          <w:color w:val="auto"/>
          <w:sz w:val="22"/>
          <w:lang w:val="lv-LV" w:eastAsia="lv-LV"/>
        </w:rPr>
        <w:t xml:space="preserve"> - nepietiekama apkope, ap</w:t>
      </w:r>
      <w:r w:rsidR="00233705">
        <w:rPr>
          <w:rFonts w:ascii="Calibri" w:hAnsi="Calibri" w:cs="Calibri"/>
          <w:noProof/>
          <w:color w:val="auto"/>
          <w:sz w:val="22"/>
          <w:lang w:val="lv-LV" w:eastAsia="lv-LV"/>
        </w:rPr>
        <w:t>kopes līmeņa samazināšanās, tehn</w:t>
      </w:r>
      <w:r w:rsidRPr="006006BD">
        <w:rPr>
          <w:rFonts w:ascii="Calibri" w:hAnsi="Calibri" w:cs="Calibri"/>
          <w:noProof/>
          <w:color w:val="auto"/>
          <w:sz w:val="22"/>
          <w:lang w:val="lv-LV" w:eastAsia="lv-LV"/>
        </w:rPr>
        <w:t>oloģisko procesu neievērošana;</w:t>
      </w:r>
    </w:p>
    <w:p w:rsidR="003F3437" w:rsidRPr="006006BD" w:rsidRDefault="003F3437" w:rsidP="00507D8C">
      <w:pPr>
        <w:spacing w:after="0" w:line="240" w:lineRule="auto"/>
        <w:ind w:firstLine="851"/>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t xml:space="preserve"> - </w:t>
      </w:r>
      <w:r w:rsidRPr="006006BD">
        <w:rPr>
          <w:rFonts w:ascii="Calibri" w:hAnsi="Calibri" w:cs="Calibri"/>
          <w:b/>
          <w:noProof/>
          <w:color w:val="auto"/>
          <w:sz w:val="22"/>
          <w:lang w:val="lv-LV" w:eastAsia="lv-LV"/>
        </w:rPr>
        <w:t>tehniskie faktori</w:t>
      </w:r>
      <w:r w:rsidRPr="006006BD">
        <w:rPr>
          <w:rFonts w:ascii="Calibri" w:hAnsi="Calibri" w:cs="Calibri"/>
          <w:noProof/>
          <w:color w:val="auto"/>
          <w:sz w:val="22"/>
          <w:lang w:val="lv-LV" w:eastAsia="lv-LV"/>
        </w:rPr>
        <w:t xml:space="preserve"> – nepiemērotu materiālu piemērošana, u.c.;</w:t>
      </w:r>
    </w:p>
    <w:p w:rsidR="003F3437" w:rsidRPr="006006BD" w:rsidRDefault="003F3437" w:rsidP="00507D8C">
      <w:pPr>
        <w:spacing w:after="0" w:line="240" w:lineRule="auto"/>
        <w:ind w:firstLine="851"/>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t xml:space="preserve"> -</w:t>
      </w:r>
      <w:r w:rsidR="00507D8C">
        <w:rPr>
          <w:rFonts w:ascii="Calibri" w:hAnsi="Calibri" w:cs="Calibri"/>
          <w:noProof/>
          <w:color w:val="auto"/>
          <w:sz w:val="22"/>
          <w:lang w:val="lv-LV" w:eastAsia="lv-LV"/>
        </w:rPr>
        <w:t> </w:t>
      </w:r>
      <w:r w:rsidRPr="006006BD">
        <w:rPr>
          <w:rFonts w:ascii="Calibri" w:hAnsi="Calibri" w:cs="Calibri"/>
          <w:b/>
          <w:noProof/>
          <w:color w:val="auto"/>
          <w:sz w:val="22"/>
          <w:lang w:val="lv-LV" w:eastAsia="lv-LV"/>
        </w:rPr>
        <w:t>ekonomiskie faktori</w:t>
      </w:r>
      <w:r w:rsidRPr="006006BD">
        <w:rPr>
          <w:rFonts w:ascii="Calibri" w:hAnsi="Calibri" w:cs="Calibri"/>
          <w:noProof/>
          <w:color w:val="auto"/>
          <w:sz w:val="22"/>
          <w:lang w:val="lv-LV" w:eastAsia="lv-LV"/>
        </w:rPr>
        <w:t xml:space="preserve"> – izmaksu samazināšana, finansējuma trūkums, nepareizi </w:t>
      </w:r>
      <w:r w:rsidR="006006BD" w:rsidRPr="006006BD">
        <w:rPr>
          <w:rFonts w:ascii="Calibri" w:hAnsi="Calibri" w:cs="Calibri"/>
          <w:noProof/>
          <w:color w:val="auto"/>
          <w:sz w:val="22"/>
          <w:lang w:val="lv-LV" w:eastAsia="lv-LV"/>
        </w:rPr>
        <w:t>piemēroti</w:t>
      </w:r>
      <w:r w:rsidRPr="006006BD">
        <w:rPr>
          <w:rFonts w:ascii="Calibri" w:hAnsi="Calibri" w:cs="Calibri"/>
          <w:noProof/>
          <w:color w:val="auto"/>
          <w:sz w:val="22"/>
          <w:lang w:val="lv-LV" w:eastAsia="lv-LV"/>
        </w:rPr>
        <w:t xml:space="preserve"> ekonomija</w:t>
      </w:r>
      <w:r w:rsidR="006006BD" w:rsidRPr="006006BD">
        <w:rPr>
          <w:rFonts w:ascii="Calibri" w:hAnsi="Calibri" w:cs="Calibri"/>
          <w:noProof/>
          <w:color w:val="auto"/>
          <w:sz w:val="22"/>
          <w:lang w:val="lv-LV" w:eastAsia="lv-LV"/>
        </w:rPr>
        <w:t>s pasākumi</w:t>
      </w:r>
      <w:r w:rsidRPr="006006BD">
        <w:rPr>
          <w:rFonts w:ascii="Calibri" w:hAnsi="Calibri" w:cs="Calibri"/>
          <w:noProof/>
          <w:color w:val="auto"/>
          <w:sz w:val="22"/>
          <w:lang w:val="lv-LV" w:eastAsia="lv-LV"/>
        </w:rPr>
        <w:t>;</w:t>
      </w:r>
    </w:p>
    <w:p w:rsidR="003F3437" w:rsidRPr="006006BD" w:rsidRDefault="003F3437" w:rsidP="00BB251E">
      <w:pPr>
        <w:spacing w:after="120" w:line="240" w:lineRule="auto"/>
        <w:ind w:firstLine="851"/>
        <w:jc w:val="both"/>
        <w:rPr>
          <w:rFonts w:ascii="Calibri" w:hAnsi="Calibri" w:cs="Calibri"/>
          <w:noProof/>
          <w:color w:val="auto"/>
          <w:sz w:val="22"/>
          <w:lang w:val="lv-LV" w:eastAsia="lv-LV"/>
        </w:rPr>
      </w:pPr>
      <w:r w:rsidRPr="006006BD">
        <w:rPr>
          <w:rFonts w:ascii="Calibri" w:hAnsi="Calibri" w:cs="Calibri"/>
          <w:noProof/>
          <w:color w:val="auto"/>
          <w:sz w:val="22"/>
          <w:lang w:val="lv-LV" w:eastAsia="lv-LV"/>
        </w:rPr>
        <w:t xml:space="preserve"> - </w:t>
      </w:r>
      <w:r w:rsidRPr="006006BD">
        <w:rPr>
          <w:rFonts w:ascii="Calibri" w:hAnsi="Calibri" w:cs="Calibri"/>
          <w:b/>
          <w:noProof/>
          <w:color w:val="auto"/>
          <w:sz w:val="22"/>
          <w:lang w:val="lv-LV" w:eastAsia="lv-LV"/>
        </w:rPr>
        <w:t>laika apstākļi</w:t>
      </w:r>
      <w:r w:rsidRPr="006006BD">
        <w:rPr>
          <w:rFonts w:ascii="Calibri" w:hAnsi="Calibri" w:cs="Calibri"/>
          <w:noProof/>
          <w:color w:val="auto"/>
          <w:sz w:val="22"/>
          <w:lang w:val="lv-LV" w:eastAsia="lv-LV"/>
        </w:rPr>
        <w:t xml:space="preserve"> – temp</w:t>
      </w:r>
      <w:r w:rsidR="00507D8C">
        <w:rPr>
          <w:rFonts w:ascii="Calibri" w:hAnsi="Calibri" w:cs="Calibri"/>
          <w:noProof/>
          <w:color w:val="auto"/>
          <w:sz w:val="22"/>
          <w:lang w:val="lv-LV" w:eastAsia="lv-LV"/>
        </w:rPr>
        <w:t>era</w:t>
      </w:r>
      <w:r w:rsidRPr="006006BD">
        <w:rPr>
          <w:rFonts w:ascii="Calibri" w:hAnsi="Calibri" w:cs="Calibri"/>
          <w:noProof/>
          <w:color w:val="auto"/>
          <w:sz w:val="22"/>
          <w:lang w:val="lv-LV" w:eastAsia="lv-LV"/>
        </w:rPr>
        <w:t>tūru svārstības, karstums, aukstums, apledojums, u.c.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F3437" w:rsidRPr="00FF6BC6" w:rsidTr="00BB251E">
        <w:tc>
          <w:tcPr>
            <w:tcW w:w="576" w:type="dxa"/>
            <w:shd w:val="clear" w:color="auto" w:fill="D9D9D9" w:themeFill="background1" w:themeFillShade="D9"/>
          </w:tcPr>
          <w:p w:rsidR="003F3437" w:rsidRPr="006006BD" w:rsidRDefault="000145ED" w:rsidP="007E4604">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rsidR="003F3437" w:rsidRPr="00B75841" w:rsidRDefault="003F3437" w:rsidP="00507D8C">
            <w:pPr>
              <w:spacing w:after="0"/>
              <w:jc w:val="both"/>
              <w:rPr>
                <w:rFonts w:ascii="Calibri" w:hAnsi="Calibri" w:cs="Calibri"/>
                <w:b/>
                <w:iCs/>
                <w:color w:val="auto"/>
                <w:sz w:val="22"/>
                <w:szCs w:val="22"/>
                <w:lang w:val="lv-LV"/>
              </w:rPr>
            </w:pPr>
            <w:r w:rsidRPr="00B75841">
              <w:rPr>
                <w:rFonts w:ascii="Calibri" w:hAnsi="Calibri" w:cs="Calibri"/>
                <w:b/>
                <w:iCs/>
                <w:color w:val="auto"/>
                <w:sz w:val="22"/>
                <w:szCs w:val="22"/>
                <w:lang w:val="lv-LV"/>
              </w:rPr>
              <w:t>Ir secināms:</w:t>
            </w:r>
          </w:p>
          <w:p w:rsidR="003F3437" w:rsidRPr="00B75841" w:rsidRDefault="003F3437" w:rsidP="00507D8C">
            <w:pPr>
              <w:pStyle w:val="ListParagraph"/>
              <w:numPr>
                <w:ilvl w:val="0"/>
                <w:numId w:val="4"/>
              </w:numPr>
              <w:tabs>
                <w:tab w:val="left" w:pos="734"/>
              </w:tabs>
              <w:ind w:left="167" w:firstLine="283"/>
              <w:jc w:val="both"/>
              <w:rPr>
                <w:rFonts w:ascii="Calibri" w:hAnsi="Calibri" w:cs="Calibri"/>
                <w:b/>
                <w:iCs/>
                <w:sz w:val="22"/>
                <w:szCs w:val="22"/>
              </w:rPr>
            </w:pPr>
            <w:r w:rsidRPr="00B75841">
              <w:rPr>
                <w:rFonts w:ascii="Calibri" w:hAnsi="Calibri" w:cs="Calibri"/>
                <w:b/>
                <w:iCs/>
                <w:sz w:val="22"/>
                <w:szCs w:val="22"/>
              </w:rPr>
              <w:t>nopietnu negadījumu un dzelzceļa satiksmes drošības pārkāpumu skaits pakāpeniski samazinās;</w:t>
            </w:r>
          </w:p>
          <w:p w:rsidR="003F3437" w:rsidRPr="00B75841" w:rsidRDefault="003F3437" w:rsidP="00507D8C">
            <w:pPr>
              <w:pStyle w:val="ListParagraph"/>
              <w:numPr>
                <w:ilvl w:val="0"/>
                <w:numId w:val="4"/>
              </w:numPr>
              <w:tabs>
                <w:tab w:val="left" w:pos="734"/>
              </w:tabs>
              <w:ind w:left="167" w:firstLine="283"/>
              <w:jc w:val="both"/>
              <w:rPr>
                <w:rFonts w:ascii="Calibri" w:hAnsi="Calibri" w:cs="Calibri"/>
                <w:b/>
                <w:iCs/>
                <w:sz w:val="22"/>
                <w:szCs w:val="22"/>
              </w:rPr>
            </w:pPr>
            <w:r w:rsidRPr="00B75841">
              <w:rPr>
                <w:rFonts w:ascii="Calibri" w:hAnsi="Calibri" w:cs="Calibri"/>
                <w:b/>
                <w:iCs/>
                <w:sz w:val="22"/>
                <w:szCs w:val="22"/>
              </w:rPr>
              <w:t xml:space="preserve">cietušo personu skaits samazinās, jo īpaši kategorijā </w:t>
            </w:r>
            <w:r w:rsidR="00507D8C" w:rsidRPr="00B75841">
              <w:rPr>
                <w:rFonts w:ascii="Calibri" w:hAnsi="Calibri" w:cs="Calibri"/>
                <w:b/>
                <w:iCs/>
                <w:sz w:val="22"/>
                <w:szCs w:val="22"/>
              </w:rPr>
              <w:t>“</w:t>
            </w:r>
            <w:r w:rsidRPr="00B75841">
              <w:rPr>
                <w:rFonts w:ascii="Calibri" w:hAnsi="Calibri" w:cs="Calibri"/>
                <w:b/>
                <w:iCs/>
                <w:sz w:val="22"/>
                <w:szCs w:val="22"/>
              </w:rPr>
              <w:t>noteikumu pārkāpēji</w:t>
            </w:r>
            <w:r w:rsidR="00507D8C" w:rsidRPr="00B75841">
              <w:rPr>
                <w:rFonts w:ascii="Calibri" w:hAnsi="Calibri" w:cs="Calibri"/>
                <w:b/>
                <w:iCs/>
                <w:sz w:val="22"/>
                <w:szCs w:val="22"/>
              </w:rPr>
              <w:t>”</w:t>
            </w:r>
            <w:r w:rsidRPr="00B75841">
              <w:rPr>
                <w:rFonts w:ascii="Calibri" w:hAnsi="Calibri" w:cs="Calibri"/>
                <w:b/>
                <w:iCs/>
                <w:sz w:val="22"/>
                <w:szCs w:val="22"/>
              </w:rPr>
              <w:t xml:space="preserve">, riski pastāv kategorijā </w:t>
            </w:r>
            <w:r w:rsidR="00507D8C" w:rsidRPr="00B75841">
              <w:rPr>
                <w:rFonts w:ascii="Calibri" w:hAnsi="Calibri" w:cs="Calibri"/>
                <w:b/>
                <w:iCs/>
                <w:sz w:val="22"/>
                <w:szCs w:val="22"/>
              </w:rPr>
              <w:t>“</w:t>
            </w:r>
            <w:r w:rsidRPr="00B75841">
              <w:rPr>
                <w:rFonts w:ascii="Calibri" w:hAnsi="Calibri" w:cs="Calibri"/>
                <w:b/>
                <w:iCs/>
                <w:sz w:val="22"/>
                <w:szCs w:val="22"/>
              </w:rPr>
              <w:t>citas personas</w:t>
            </w:r>
            <w:r w:rsidR="00507D8C" w:rsidRPr="00B75841">
              <w:rPr>
                <w:rFonts w:ascii="Calibri" w:hAnsi="Calibri" w:cs="Calibri"/>
                <w:b/>
                <w:iCs/>
                <w:sz w:val="22"/>
                <w:szCs w:val="22"/>
              </w:rPr>
              <w:t>” un saistāms ar sociālo faktoru ietekmi</w:t>
            </w:r>
            <w:r w:rsidRPr="00B75841">
              <w:rPr>
                <w:rFonts w:ascii="Calibri" w:hAnsi="Calibri" w:cs="Calibri"/>
                <w:b/>
                <w:iCs/>
                <w:sz w:val="22"/>
                <w:szCs w:val="22"/>
              </w:rPr>
              <w:t xml:space="preserve">; </w:t>
            </w:r>
          </w:p>
          <w:p w:rsidR="003F3437" w:rsidRPr="00B75841" w:rsidRDefault="003F3437" w:rsidP="00507D8C">
            <w:pPr>
              <w:pStyle w:val="ListParagraph"/>
              <w:numPr>
                <w:ilvl w:val="0"/>
                <w:numId w:val="4"/>
              </w:numPr>
              <w:tabs>
                <w:tab w:val="left" w:pos="734"/>
                <w:tab w:val="left" w:pos="1134"/>
              </w:tabs>
              <w:ind w:left="167" w:firstLine="283"/>
              <w:jc w:val="both"/>
              <w:rPr>
                <w:rFonts w:ascii="Calibri" w:hAnsi="Calibri" w:cs="Calibri"/>
                <w:b/>
                <w:sz w:val="22"/>
                <w:szCs w:val="22"/>
              </w:rPr>
            </w:pPr>
            <w:r w:rsidRPr="00B75841">
              <w:rPr>
                <w:rFonts w:ascii="Calibri" w:hAnsi="Calibri" w:cs="Calibri"/>
                <w:b/>
                <w:sz w:val="22"/>
                <w:szCs w:val="22"/>
              </w:rPr>
              <w:t>dzelzceļu satiksmes drošības problēmu izpratnei ir nepieciešami prec</w:t>
            </w:r>
            <w:r w:rsidR="00507D8C" w:rsidRPr="00B75841">
              <w:rPr>
                <w:rFonts w:ascii="Calibri" w:hAnsi="Calibri" w:cs="Calibri"/>
                <w:b/>
                <w:sz w:val="22"/>
                <w:szCs w:val="22"/>
              </w:rPr>
              <w:t xml:space="preserve">īzi un </w:t>
            </w:r>
            <w:r w:rsidR="007A2E40" w:rsidRPr="00B75841">
              <w:rPr>
                <w:rFonts w:ascii="Calibri" w:hAnsi="Calibri" w:cs="Calibri"/>
                <w:b/>
                <w:sz w:val="22"/>
                <w:szCs w:val="22"/>
              </w:rPr>
              <w:t>strukturēti</w:t>
            </w:r>
            <w:r w:rsidR="00507D8C" w:rsidRPr="00B75841">
              <w:rPr>
                <w:rFonts w:ascii="Calibri" w:hAnsi="Calibri" w:cs="Calibri"/>
                <w:b/>
                <w:sz w:val="22"/>
                <w:szCs w:val="22"/>
              </w:rPr>
              <w:t xml:space="preserve"> dati, kas ļauj veidot prognozes un izvērtēt tendences</w:t>
            </w:r>
            <w:r w:rsidRPr="00B75841">
              <w:rPr>
                <w:rFonts w:ascii="Calibri" w:hAnsi="Calibri" w:cs="Calibri"/>
                <w:b/>
                <w:sz w:val="22"/>
                <w:szCs w:val="22"/>
              </w:rPr>
              <w:t>;</w:t>
            </w:r>
          </w:p>
          <w:p w:rsidR="003F3437" w:rsidRPr="00B75841" w:rsidRDefault="003F3437" w:rsidP="00507D8C">
            <w:pPr>
              <w:pStyle w:val="ListParagraph"/>
              <w:numPr>
                <w:ilvl w:val="0"/>
                <w:numId w:val="4"/>
              </w:numPr>
              <w:tabs>
                <w:tab w:val="left" w:pos="734"/>
              </w:tabs>
              <w:ind w:left="167" w:firstLine="283"/>
              <w:jc w:val="both"/>
              <w:rPr>
                <w:rFonts w:ascii="Calibri" w:hAnsi="Calibri" w:cs="Calibri"/>
                <w:b/>
                <w:iCs/>
                <w:sz w:val="22"/>
                <w:szCs w:val="22"/>
              </w:rPr>
            </w:pPr>
            <w:r w:rsidRPr="00B75841">
              <w:rPr>
                <w:rFonts w:ascii="Calibri" w:hAnsi="Calibri" w:cs="Calibri"/>
                <w:b/>
                <w:iCs/>
                <w:sz w:val="22"/>
                <w:szCs w:val="22"/>
              </w:rPr>
              <w:t xml:space="preserve">datiem ir raksturīga mainība. </w:t>
            </w:r>
            <w:r w:rsidR="00507D8C" w:rsidRPr="00B75841">
              <w:rPr>
                <w:rFonts w:ascii="Calibri" w:hAnsi="Calibri" w:cs="Calibri"/>
                <w:b/>
                <w:iCs/>
                <w:sz w:val="22"/>
                <w:szCs w:val="22"/>
              </w:rPr>
              <w:t xml:space="preserve">VDzTI </w:t>
            </w:r>
            <w:r w:rsidRPr="00B75841">
              <w:rPr>
                <w:rFonts w:ascii="Calibri" w:hAnsi="Calibri" w:cs="Calibri"/>
                <w:b/>
                <w:iCs/>
                <w:sz w:val="22"/>
                <w:szCs w:val="22"/>
              </w:rPr>
              <w:t>ir uzsākusi darbu pie vienotas un strukturētas negadījumu datu uzskaites sistēmas izveides;</w:t>
            </w:r>
          </w:p>
          <w:p w:rsidR="003F3437" w:rsidRPr="006006BD" w:rsidRDefault="003F3437" w:rsidP="00507D8C">
            <w:pPr>
              <w:pStyle w:val="ListParagraph"/>
              <w:numPr>
                <w:ilvl w:val="0"/>
                <w:numId w:val="4"/>
              </w:numPr>
              <w:tabs>
                <w:tab w:val="left" w:pos="734"/>
              </w:tabs>
              <w:ind w:left="167" w:firstLine="283"/>
              <w:jc w:val="both"/>
              <w:rPr>
                <w:rFonts w:ascii="Calibri" w:hAnsi="Calibri" w:cs="Calibri"/>
                <w:iCs/>
                <w:sz w:val="22"/>
                <w:szCs w:val="22"/>
              </w:rPr>
            </w:pPr>
            <w:r w:rsidRPr="00B75841">
              <w:rPr>
                <w:rFonts w:ascii="Calibri" w:hAnsi="Calibri" w:cs="Calibri"/>
                <w:b/>
                <w:iCs/>
                <w:sz w:val="22"/>
                <w:szCs w:val="22"/>
              </w:rPr>
              <w:t xml:space="preserve">dažādi lēmumu pieņemšanas kritēriji un procesi dalībvalstīs rada </w:t>
            </w:r>
            <w:r w:rsidR="00507D8C" w:rsidRPr="00B75841">
              <w:rPr>
                <w:rFonts w:ascii="Calibri" w:hAnsi="Calibri" w:cs="Calibri"/>
                <w:b/>
                <w:iCs/>
                <w:sz w:val="22"/>
                <w:szCs w:val="22"/>
              </w:rPr>
              <w:t>nepareizu</w:t>
            </w:r>
            <w:r w:rsidRPr="00B75841">
              <w:rPr>
                <w:rFonts w:ascii="Calibri" w:hAnsi="Calibri" w:cs="Calibri"/>
                <w:b/>
                <w:iCs/>
                <w:sz w:val="22"/>
                <w:szCs w:val="22"/>
              </w:rPr>
              <w:t xml:space="preserve"> ziņošanu par pašnāvības gadījumiem, ir jāpārdomā</w:t>
            </w:r>
            <w:r w:rsidR="00AD6975">
              <w:rPr>
                <w:rFonts w:ascii="Calibri" w:hAnsi="Calibri" w:cs="Calibri"/>
                <w:b/>
                <w:iCs/>
                <w:sz w:val="22"/>
                <w:szCs w:val="22"/>
              </w:rPr>
              <w:t xml:space="preserve"> par vienotu kritēriju izstrādi</w:t>
            </w:r>
            <w:r w:rsidR="00507D8C" w:rsidRPr="00B75841">
              <w:rPr>
                <w:rFonts w:ascii="Calibri" w:hAnsi="Calibri" w:cs="Calibri"/>
                <w:b/>
                <w:iCs/>
                <w:sz w:val="22"/>
                <w:szCs w:val="22"/>
              </w:rPr>
              <w:t xml:space="preserve">, lai </w:t>
            </w:r>
            <w:r w:rsidRPr="00B75841">
              <w:rPr>
                <w:rFonts w:ascii="Calibri" w:hAnsi="Calibri" w:cs="Calibri"/>
                <w:b/>
                <w:iCs/>
                <w:sz w:val="22"/>
                <w:szCs w:val="22"/>
              </w:rPr>
              <w:t>izlīdzinātu drošības līmeņa novērtēšanu.</w:t>
            </w:r>
          </w:p>
        </w:tc>
      </w:tr>
    </w:tbl>
    <w:p w:rsidR="00D41F65" w:rsidRDefault="00D41F65" w:rsidP="00D41F65">
      <w:pPr>
        <w:pStyle w:val="Heading1"/>
        <w:pBdr>
          <w:bottom w:val="none" w:sz="0" w:space="0" w:color="auto"/>
        </w:pBdr>
        <w:spacing w:after="120"/>
        <w:ind w:left="567" w:hanging="142"/>
        <w:rPr>
          <w:rFonts w:asciiTheme="minorHAnsi" w:hAnsiTheme="minorHAnsi" w:cstheme="minorHAnsi"/>
          <w:b/>
          <w:color w:val="auto"/>
          <w:sz w:val="24"/>
          <w:lang w:val="lv-LV"/>
        </w:rPr>
      </w:pPr>
    </w:p>
    <w:p w:rsidR="0025022F" w:rsidRPr="00D41F65" w:rsidRDefault="0025022F" w:rsidP="0025022F">
      <w:pPr>
        <w:pStyle w:val="Heading1"/>
        <w:pBdr>
          <w:bottom w:val="single" w:sz="4" w:space="0" w:color="auto"/>
        </w:pBdr>
        <w:ind w:left="567" w:hanging="141"/>
        <w:rPr>
          <w:rFonts w:asciiTheme="minorHAnsi" w:hAnsiTheme="minorHAnsi" w:cstheme="minorHAnsi"/>
          <w:b/>
          <w:color w:val="auto"/>
          <w:sz w:val="24"/>
          <w:lang w:val="lv-LV"/>
        </w:rPr>
      </w:pPr>
      <w:bookmarkStart w:id="25" w:name="_Toc51146308"/>
      <w:r w:rsidRPr="00D41F65">
        <w:rPr>
          <w:rFonts w:asciiTheme="minorHAnsi" w:hAnsiTheme="minorHAnsi" w:cstheme="minorHAnsi"/>
          <w:b/>
          <w:color w:val="auto"/>
          <w:sz w:val="24"/>
          <w:lang w:val="lv-LV"/>
        </w:rPr>
        <w:t>Tiesību akti</w:t>
      </w:r>
      <w:bookmarkEnd w:id="25"/>
    </w:p>
    <w:p w:rsidR="00F44891" w:rsidRDefault="0025022F" w:rsidP="0025022F">
      <w:pPr>
        <w:spacing w:after="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VDzTI 2019</w:t>
      </w:r>
      <w:r w:rsidRPr="00580E74">
        <w:rPr>
          <w:rFonts w:ascii="Calibri" w:hAnsi="Calibri" w:cs="Calibri"/>
          <w:color w:val="auto"/>
          <w:sz w:val="22"/>
          <w:szCs w:val="22"/>
          <w:lang w:val="lv-LV"/>
        </w:rPr>
        <w:t xml:space="preserve">.gadā sagatavoja un iesniedza Satiksmes ministrijai </w:t>
      </w:r>
      <w:r>
        <w:rPr>
          <w:rFonts w:ascii="Calibri" w:hAnsi="Calibri" w:cs="Calibri"/>
          <w:color w:val="auto"/>
          <w:sz w:val="22"/>
          <w:szCs w:val="22"/>
          <w:lang w:val="lv-LV"/>
        </w:rPr>
        <w:t>trīs</w:t>
      </w:r>
      <w:r w:rsidRPr="00580E74">
        <w:rPr>
          <w:rFonts w:ascii="Calibri" w:hAnsi="Calibri" w:cs="Calibri"/>
          <w:color w:val="auto"/>
          <w:sz w:val="22"/>
          <w:szCs w:val="22"/>
          <w:lang w:val="lv-LV"/>
        </w:rPr>
        <w:t xml:space="preserve"> normatīvo aktu projektus</w:t>
      </w:r>
      <w:r>
        <w:rPr>
          <w:rFonts w:ascii="Calibri" w:hAnsi="Calibri" w:cs="Calibri"/>
          <w:color w:val="auto"/>
          <w:sz w:val="22"/>
          <w:szCs w:val="22"/>
          <w:lang w:val="lv-LV"/>
        </w:rPr>
        <w:t xml:space="preserve">, kur viens no tiem bija likumprojekts “Grozījumi Dzelzceļa likumā”, pārņemot t.s Ceturtās dzelzceļa pakotnes tehnisko pīlāru. </w:t>
      </w:r>
      <w:r w:rsidR="00F44891" w:rsidRPr="00F44891">
        <w:rPr>
          <w:rFonts w:ascii="Calibri" w:hAnsi="Calibri" w:cs="Calibri"/>
          <w:color w:val="auto"/>
          <w:sz w:val="22"/>
          <w:szCs w:val="22"/>
          <w:lang w:val="lv-LV"/>
        </w:rPr>
        <w:t xml:space="preserve">Likumprojekts „Grozījumi Dzelzceļa likumā” </w:t>
      </w:r>
      <w:r w:rsidR="00F44891">
        <w:rPr>
          <w:rFonts w:ascii="Calibri" w:hAnsi="Calibri" w:cs="Calibri"/>
          <w:color w:val="auto"/>
          <w:sz w:val="22"/>
          <w:szCs w:val="22"/>
          <w:lang w:val="lv-LV"/>
        </w:rPr>
        <w:t xml:space="preserve">tika </w:t>
      </w:r>
      <w:r w:rsidR="00F44891" w:rsidRPr="00F44891">
        <w:rPr>
          <w:rFonts w:ascii="Calibri" w:hAnsi="Calibri" w:cs="Calibri"/>
          <w:color w:val="auto"/>
          <w:sz w:val="22"/>
          <w:szCs w:val="22"/>
          <w:lang w:val="lv-LV"/>
        </w:rPr>
        <w:t>izstrādāts, lai nodrošinātu Eiropas Parlamenta un Padomes 2016. gada 11. maija direktīvas (ES) 2016/797 par dzelzceļa sistēmas savstarpēju izmantojamību Eiropas Savienībā un Eiropas Parlamenta un Padomes 2016.gada 11.maija direktīvas (ES) 2016/798 par dzelzceļa drošību, prasību pārņemšanu.</w:t>
      </w:r>
      <w:r w:rsidR="001A1A4D">
        <w:rPr>
          <w:rFonts w:ascii="Calibri" w:hAnsi="Calibri" w:cs="Calibri"/>
          <w:color w:val="auto"/>
          <w:sz w:val="22"/>
          <w:szCs w:val="22"/>
          <w:lang w:val="lv-LV"/>
        </w:rPr>
        <w:t xml:space="preserve"> </w:t>
      </w:r>
      <w:hyperlink r:id="rId25" w:history="1">
        <w:r w:rsidR="001A1A4D" w:rsidRPr="001A1A4D">
          <w:rPr>
            <w:rStyle w:val="Hyperlink"/>
            <w:rFonts w:ascii="Calibri" w:hAnsi="Calibri" w:cs="Calibri"/>
            <w:sz w:val="22"/>
            <w:szCs w:val="22"/>
            <w:lang w:val="lv-LV"/>
          </w:rPr>
          <w:t>Grozījumi Dzelzceļa likumā</w:t>
        </w:r>
      </w:hyperlink>
      <w:r w:rsidR="001A1A4D">
        <w:rPr>
          <w:rFonts w:ascii="Calibri" w:hAnsi="Calibri" w:cs="Calibri"/>
          <w:color w:val="auto"/>
          <w:sz w:val="22"/>
          <w:szCs w:val="22"/>
          <w:lang w:val="lv-LV"/>
        </w:rPr>
        <w:t xml:space="preserve"> tika pieņemti 2020.gada 13.debruārī. </w:t>
      </w:r>
    </w:p>
    <w:p w:rsidR="001A1A4D" w:rsidRDefault="00AD6975" w:rsidP="0025022F">
      <w:pPr>
        <w:spacing w:after="0" w:line="240" w:lineRule="auto"/>
        <w:ind w:firstLine="720"/>
        <w:jc w:val="both"/>
        <w:rPr>
          <w:rFonts w:ascii="Calibri" w:hAnsi="Calibri" w:cs="Calibri"/>
          <w:color w:val="auto"/>
          <w:sz w:val="22"/>
          <w:szCs w:val="22"/>
          <w:lang w:val="lv-LV"/>
        </w:rPr>
      </w:pPr>
      <w:r>
        <w:rPr>
          <w:rFonts w:ascii="Calibri" w:hAnsi="Calibri" w:cs="Calibri"/>
          <w:color w:val="auto"/>
          <w:sz w:val="22"/>
          <w:szCs w:val="22"/>
          <w:lang w:val="lv-LV"/>
        </w:rPr>
        <w:t xml:space="preserve">Visi </w:t>
      </w:r>
      <w:r w:rsidR="001A1A4D">
        <w:rPr>
          <w:rFonts w:ascii="Calibri" w:hAnsi="Calibri" w:cs="Calibri"/>
          <w:color w:val="auto"/>
          <w:sz w:val="22"/>
          <w:szCs w:val="22"/>
          <w:lang w:val="lv-LV"/>
        </w:rPr>
        <w:t>tiesību akti,</w:t>
      </w:r>
      <w:r>
        <w:rPr>
          <w:rFonts w:ascii="Calibri" w:hAnsi="Calibri" w:cs="Calibri"/>
          <w:color w:val="auto"/>
          <w:sz w:val="22"/>
          <w:szCs w:val="22"/>
          <w:lang w:val="lv-LV"/>
        </w:rPr>
        <w:t xml:space="preserve"> kas </w:t>
      </w:r>
      <w:r w:rsidR="001A1A4D">
        <w:rPr>
          <w:rFonts w:ascii="Calibri" w:hAnsi="Calibri" w:cs="Calibri"/>
          <w:color w:val="auto"/>
          <w:sz w:val="22"/>
          <w:szCs w:val="22"/>
          <w:lang w:val="lv-LV"/>
        </w:rPr>
        <w:t xml:space="preserve">pilnībā </w:t>
      </w:r>
      <w:r>
        <w:rPr>
          <w:rFonts w:ascii="Calibri" w:hAnsi="Calibri" w:cs="Calibri"/>
          <w:color w:val="auto"/>
          <w:sz w:val="22"/>
          <w:szCs w:val="22"/>
          <w:lang w:val="lv-LV"/>
        </w:rPr>
        <w:t>pārņem E</w:t>
      </w:r>
      <w:r w:rsidR="001A1A4D">
        <w:rPr>
          <w:rFonts w:ascii="Calibri" w:hAnsi="Calibri" w:cs="Calibri"/>
          <w:color w:val="auto"/>
          <w:sz w:val="22"/>
          <w:szCs w:val="22"/>
          <w:lang w:val="lv-LV"/>
        </w:rPr>
        <w:t xml:space="preserve">S </w:t>
      </w:r>
      <w:r>
        <w:rPr>
          <w:rFonts w:ascii="Calibri" w:hAnsi="Calibri" w:cs="Calibri"/>
          <w:color w:val="auto"/>
          <w:sz w:val="22"/>
          <w:szCs w:val="22"/>
          <w:lang w:val="lv-LV"/>
        </w:rPr>
        <w:t>Ceturtās dzelzceļa pakotnes tehniskā pīlāra prasības, stājās spēkā 2020.gada 16.jūnijā</w:t>
      </w:r>
      <w:r w:rsidR="001A1A4D">
        <w:rPr>
          <w:rFonts w:ascii="Calibri" w:hAnsi="Calibri" w:cs="Calibri"/>
          <w:color w:val="auto"/>
          <w:sz w:val="22"/>
          <w:szCs w:val="22"/>
          <w:lang w:val="lv-LV"/>
        </w:rPr>
        <w:t xml:space="preserve">. </w:t>
      </w:r>
    </w:p>
    <w:p w:rsidR="001A1A4D" w:rsidRDefault="001A1A4D" w:rsidP="0025022F">
      <w:pPr>
        <w:spacing w:after="0" w:line="240" w:lineRule="auto"/>
        <w:ind w:firstLine="720"/>
        <w:jc w:val="both"/>
        <w:rPr>
          <w:rFonts w:ascii="Calibri" w:hAnsi="Calibri" w:cs="Calibri"/>
          <w:color w:val="auto"/>
          <w:sz w:val="22"/>
          <w:szCs w:val="22"/>
          <w:lang w:val="lv-LV"/>
        </w:rPr>
      </w:pPr>
    </w:p>
    <w:p w:rsidR="00224669" w:rsidRPr="00D41F65" w:rsidRDefault="001A1A4D" w:rsidP="00806C8F">
      <w:pPr>
        <w:pBdr>
          <w:bottom w:val="single" w:sz="4" w:space="1" w:color="auto"/>
        </w:pBdr>
        <w:ind w:left="567"/>
        <w:rPr>
          <w:rFonts w:cstheme="minorHAnsi"/>
          <w:b/>
          <w:color w:val="auto"/>
          <w:sz w:val="24"/>
          <w:lang w:val="lv-LV"/>
        </w:rPr>
      </w:pPr>
      <w:r>
        <w:rPr>
          <w:rFonts w:cstheme="minorHAnsi"/>
          <w:color w:val="auto"/>
          <w:sz w:val="22"/>
          <w:szCs w:val="22"/>
          <w:lang w:val="lv-LV"/>
        </w:rPr>
        <w:tab/>
      </w:r>
      <w:bookmarkStart w:id="26" w:name="_Toc51146309"/>
      <w:r w:rsidR="00224669" w:rsidRPr="00D41F65">
        <w:rPr>
          <w:rFonts w:cstheme="minorHAnsi"/>
          <w:b/>
          <w:color w:val="auto"/>
          <w:sz w:val="24"/>
          <w:lang w:val="lv-LV"/>
        </w:rPr>
        <w:t>Uzraudzība</w:t>
      </w:r>
      <w:bookmarkEnd w:id="26"/>
    </w:p>
    <w:p w:rsidR="00224669" w:rsidRPr="006006BD" w:rsidRDefault="00224669" w:rsidP="00806C8F">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t xml:space="preserve">Dzelzceļa pārvadātājiem, infrastruktūras pārvaldītājiem un citiem dzelzceļa transportā iesaistītajiem ir nepieciešams efektīvi īstenot savas drošības pārvaldības  vai iekšējās uzraudzības sistēmas, lai dzelzceļa sistēma kopumā darbotos droši.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FF6BC6" w:rsidTr="006E08C3">
        <w:tc>
          <w:tcPr>
            <w:tcW w:w="576" w:type="dxa"/>
            <w:shd w:val="clear" w:color="auto" w:fill="D9D9D9" w:themeFill="background1" w:themeFillShade="D9"/>
          </w:tcPr>
          <w:p w:rsidR="00224669" w:rsidRPr="006006BD" w:rsidRDefault="000145ED" w:rsidP="006E08C3">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224669" w:rsidRPr="00B75841" w:rsidRDefault="00224669" w:rsidP="006E08C3">
            <w:pPr>
              <w:pStyle w:val="BodyText"/>
              <w:tabs>
                <w:tab w:val="left" w:pos="709"/>
              </w:tabs>
              <w:jc w:val="both"/>
              <w:rPr>
                <w:rFonts w:ascii="Calibri" w:hAnsi="Calibri" w:cs="Calibri"/>
                <w:b/>
                <w:iCs/>
                <w:sz w:val="22"/>
                <w:szCs w:val="22"/>
              </w:rPr>
            </w:pPr>
            <w:r w:rsidRPr="00B75841">
              <w:rPr>
                <w:rFonts w:ascii="Calibri" w:hAnsi="Calibri" w:cs="Calibri"/>
                <w:b/>
                <w:iCs/>
                <w:sz w:val="22"/>
                <w:szCs w:val="22"/>
              </w:rPr>
              <w:t>VDzTI uzraudzības jomas ir tehniskās ekspluatācijas uzraudzība, drošības pārvaldības sistēmu veikstpējas izvērtēšana, pārbaudes ritošajam sastāvam un dzelzceļa infrastruktūras būvobjektiem, bīstamo kravu pārvadājumu uzraudzība, dzelzceļa pārbrauktuvju uzraudzība un dzelzceļa satiksmes negadījumu izmeklēšana.</w:t>
            </w:r>
          </w:p>
        </w:tc>
      </w:tr>
    </w:tbl>
    <w:p w:rsidR="00224669" w:rsidRPr="006006BD" w:rsidRDefault="00224669" w:rsidP="00224669">
      <w:pPr>
        <w:pStyle w:val="Heading1"/>
        <w:pBdr>
          <w:bottom w:val="single" w:sz="4" w:space="0" w:color="auto"/>
        </w:pBdr>
        <w:spacing w:before="240"/>
        <w:rPr>
          <w:rFonts w:ascii="Calibri" w:hAnsi="Calibri" w:cs="Calibri"/>
          <w:b/>
          <w:color w:val="auto"/>
          <w:sz w:val="24"/>
          <w:szCs w:val="24"/>
          <w:lang w:val="lv-LV"/>
        </w:rPr>
      </w:pPr>
      <w:bookmarkStart w:id="27" w:name="_Toc43198274"/>
      <w:bookmarkStart w:id="28" w:name="_Toc51146310"/>
      <w:r w:rsidRPr="006006BD">
        <w:rPr>
          <w:rFonts w:ascii="Calibri" w:hAnsi="Calibri" w:cs="Calibri"/>
          <w:b/>
          <w:color w:val="auto"/>
          <w:sz w:val="24"/>
          <w:szCs w:val="24"/>
          <w:lang w:val="lv-LV"/>
        </w:rPr>
        <w:t>Pārbaudes, auditi un apskates</w:t>
      </w:r>
      <w:bookmarkEnd w:id="27"/>
      <w:bookmarkEnd w:id="28"/>
    </w:p>
    <w:p w:rsidR="00224669" w:rsidRPr="006006BD"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t>201</w:t>
      </w:r>
      <w:r w:rsidR="004640B1" w:rsidRPr="006006BD">
        <w:rPr>
          <w:rFonts w:ascii="Calibri" w:hAnsi="Calibri" w:cs="Calibri"/>
          <w:color w:val="auto"/>
          <w:sz w:val="22"/>
          <w:szCs w:val="22"/>
          <w:lang w:val="lv-LV"/>
        </w:rPr>
        <w:t>9</w:t>
      </w:r>
      <w:r w:rsidRPr="006006BD">
        <w:rPr>
          <w:rFonts w:ascii="Calibri" w:hAnsi="Calibri" w:cs="Calibri"/>
          <w:color w:val="auto"/>
          <w:sz w:val="22"/>
          <w:szCs w:val="22"/>
          <w:lang w:val="lv-LV"/>
        </w:rPr>
        <w:t>.gadā ir veiktas 1</w:t>
      </w:r>
      <w:r w:rsidR="004640B1" w:rsidRPr="006006BD">
        <w:rPr>
          <w:rFonts w:ascii="Calibri" w:hAnsi="Calibri" w:cs="Calibri"/>
          <w:color w:val="auto"/>
          <w:sz w:val="22"/>
          <w:szCs w:val="22"/>
          <w:lang w:val="lv-LV"/>
        </w:rPr>
        <w:t>36</w:t>
      </w:r>
      <w:r w:rsidR="00233705">
        <w:rPr>
          <w:rFonts w:ascii="Calibri" w:hAnsi="Calibri" w:cs="Calibri"/>
          <w:color w:val="auto"/>
          <w:sz w:val="22"/>
          <w:szCs w:val="22"/>
          <w:lang w:val="lv-LV"/>
        </w:rPr>
        <w:t xml:space="preserve"> </w:t>
      </w:r>
      <w:r w:rsidRPr="006006BD">
        <w:rPr>
          <w:rFonts w:ascii="Calibri" w:hAnsi="Calibri" w:cs="Calibri"/>
          <w:color w:val="auto"/>
          <w:sz w:val="22"/>
          <w:szCs w:val="22"/>
          <w:lang w:val="lv-LV"/>
        </w:rPr>
        <w:t xml:space="preserve">pārbaudes. </w:t>
      </w:r>
      <w:r w:rsidR="004640B1" w:rsidRPr="006006BD">
        <w:rPr>
          <w:rFonts w:ascii="Calibri" w:hAnsi="Calibri" w:cs="Calibri"/>
          <w:color w:val="auto"/>
          <w:sz w:val="22"/>
          <w:szCs w:val="22"/>
          <w:lang w:val="lv-LV"/>
        </w:rPr>
        <w:t>Pabeigts liela apjoma</w:t>
      </w:r>
      <w:r w:rsidRPr="006006BD">
        <w:rPr>
          <w:rFonts w:ascii="Calibri" w:hAnsi="Calibri" w:cs="Calibri"/>
          <w:color w:val="auto"/>
          <w:sz w:val="22"/>
          <w:szCs w:val="22"/>
          <w:lang w:val="lv-LV"/>
        </w:rPr>
        <w:t xml:space="preserve"> drošības pārvaldības sistēmas audits.</w:t>
      </w:r>
      <w:r w:rsidR="004640B1" w:rsidRPr="006006BD">
        <w:rPr>
          <w:rFonts w:ascii="Calibri" w:hAnsi="Calibri" w:cs="Calibri"/>
          <w:color w:val="auto"/>
          <w:sz w:val="22"/>
          <w:szCs w:val="22"/>
          <w:lang w:val="lv-LV"/>
        </w:rPr>
        <w:t xml:space="preserve"> Audita periods bija divi gadi. </w:t>
      </w:r>
      <w:r w:rsidRPr="006006BD">
        <w:rPr>
          <w:rFonts w:ascii="Calibri" w:hAnsi="Calibri" w:cs="Calibri"/>
          <w:color w:val="auto"/>
          <w:sz w:val="22"/>
          <w:szCs w:val="22"/>
          <w:lang w:val="lv-LV"/>
        </w:rPr>
        <w:t xml:space="preserve"> </w:t>
      </w:r>
    </w:p>
    <w:p w:rsidR="00224669" w:rsidRPr="006006BD" w:rsidRDefault="002C187B"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noProof/>
          <w:lang w:val="lv-LV" w:eastAsia="lv-LV"/>
        </w:rPr>
        <w:lastRenderedPageBreak/>
        <w:drawing>
          <wp:inline distT="0" distB="0" distL="0" distR="0" wp14:anchorId="4C6B73CF" wp14:editId="7024FD99">
            <wp:extent cx="6120130" cy="2593340"/>
            <wp:effectExtent l="0" t="0" r="13970" b="16510"/>
            <wp:docPr id="11" name="Diagramma 1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6006BD">
        <w:rPr>
          <w:rFonts w:ascii="Calibri" w:hAnsi="Calibri" w:cs="Calibri"/>
          <w:color w:val="auto"/>
          <w:sz w:val="22"/>
          <w:szCs w:val="22"/>
          <w:lang w:val="lv-LV"/>
        </w:rPr>
        <w:t xml:space="preserve">                    Pārbaudēm ir pakāpeniska </w:t>
      </w:r>
      <w:r w:rsidR="00224669" w:rsidRPr="006006BD">
        <w:rPr>
          <w:rFonts w:ascii="Calibri" w:hAnsi="Calibri" w:cs="Calibri"/>
          <w:color w:val="auto"/>
          <w:sz w:val="22"/>
          <w:szCs w:val="22"/>
          <w:lang w:val="lv-LV"/>
        </w:rPr>
        <w:t xml:space="preserve">tendence pieaugt.  </w:t>
      </w:r>
      <w:r w:rsidRPr="006006BD">
        <w:rPr>
          <w:rFonts w:ascii="Calibri" w:hAnsi="Calibri" w:cs="Calibri"/>
          <w:color w:val="auto"/>
          <w:sz w:val="22"/>
          <w:szCs w:val="22"/>
          <w:lang w:val="lv-LV"/>
        </w:rPr>
        <w:t xml:space="preserve">No 2019.gada </w:t>
      </w:r>
      <w:r w:rsidR="00224669" w:rsidRPr="006006BD">
        <w:rPr>
          <w:rFonts w:ascii="Calibri" w:hAnsi="Calibri" w:cs="Calibri"/>
          <w:color w:val="auto"/>
          <w:sz w:val="22"/>
          <w:szCs w:val="22"/>
          <w:lang w:val="lv-LV"/>
        </w:rPr>
        <w:t xml:space="preserve">VDzTi </w:t>
      </w:r>
      <w:r w:rsidRPr="006006BD">
        <w:rPr>
          <w:rFonts w:ascii="Calibri" w:hAnsi="Calibri" w:cs="Calibri"/>
          <w:color w:val="auto"/>
          <w:sz w:val="22"/>
          <w:szCs w:val="22"/>
          <w:lang w:val="lv-LV"/>
        </w:rPr>
        <w:t>pakāpeniski samazina</w:t>
      </w:r>
      <w:r w:rsidR="00224669" w:rsidRPr="006006BD">
        <w:rPr>
          <w:rFonts w:ascii="Calibri" w:hAnsi="Calibri" w:cs="Calibri"/>
          <w:color w:val="auto"/>
          <w:sz w:val="22"/>
          <w:szCs w:val="22"/>
          <w:lang w:val="lv-LV"/>
        </w:rPr>
        <w:t xml:space="preserve"> </w:t>
      </w:r>
      <w:r w:rsidRPr="006006BD">
        <w:rPr>
          <w:rFonts w:ascii="Calibri" w:hAnsi="Calibri" w:cs="Calibri"/>
          <w:color w:val="auto"/>
          <w:sz w:val="22"/>
          <w:szCs w:val="22"/>
          <w:lang w:val="lv-LV"/>
        </w:rPr>
        <w:t>pārbaužu skaitu</w:t>
      </w:r>
      <w:r w:rsidR="00224669" w:rsidRPr="006006BD">
        <w:rPr>
          <w:rFonts w:ascii="Calibri" w:hAnsi="Calibri" w:cs="Calibri"/>
          <w:color w:val="auto"/>
          <w:sz w:val="22"/>
          <w:szCs w:val="22"/>
          <w:lang w:val="lv-LV"/>
        </w:rPr>
        <w:t xml:space="preserve"> līdz 100 pārbaudēm gadā, kas saistāms ar drošības pārvaldības sistēmu auditēšanas ieviešanu. Viena pārvadātāja auditēšana prasa vismaz sešu mēnešu novērtēšanas posmu. Pārbaužu apjoms pakāpeniski piecu gadu periodā varētu samazināties vidēji par  6-13% gadā.</w:t>
      </w:r>
      <w:r w:rsidRPr="006006BD">
        <w:rPr>
          <w:rFonts w:ascii="Calibri" w:hAnsi="Calibri" w:cs="Calibri"/>
          <w:color w:val="auto"/>
          <w:sz w:val="22"/>
          <w:szCs w:val="22"/>
          <w:lang w:val="lv-LV"/>
        </w:rPr>
        <w:t xml:space="preserve"> 2019.gadā samazinājums ir par 12%, kas</w:t>
      </w:r>
      <w:r w:rsidR="00233705">
        <w:rPr>
          <w:rFonts w:ascii="Calibri" w:hAnsi="Calibri" w:cs="Calibri"/>
          <w:color w:val="auto"/>
          <w:sz w:val="22"/>
          <w:szCs w:val="22"/>
          <w:lang w:val="lv-LV"/>
        </w:rPr>
        <w:t xml:space="preserve"> atbilst </w:t>
      </w:r>
      <w:r w:rsidRPr="006006BD">
        <w:rPr>
          <w:rFonts w:ascii="Calibri" w:hAnsi="Calibri" w:cs="Calibri"/>
          <w:color w:val="auto"/>
          <w:sz w:val="22"/>
          <w:szCs w:val="22"/>
          <w:lang w:val="lv-LV"/>
        </w:rPr>
        <w:t>plānotajam</w:t>
      </w:r>
      <w:r w:rsidR="00233705">
        <w:rPr>
          <w:rFonts w:ascii="Calibri" w:hAnsi="Calibri" w:cs="Calibri"/>
          <w:color w:val="auto"/>
          <w:sz w:val="22"/>
          <w:szCs w:val="22"/>
          <w:lang w:val="lv-LV"/>
        </w:rPr>
        <w:t xml:space="preserve">. </w:t>
      </w:r>
      <w:r w:rsidR="00224669" w:rsidRPr="006006BD">
        <w:rPr>
          <w:rFonts w:ascii="Calibri" w:hAnsi="Calibri" w:cs="Calibri"/>
          <w:color w:val="auto"/>
          <w:sz w:val="22"/>
          <w:szCs w:val="22"/>
          <w:lang w:val="lv-LV"/>
        </w:rPr>
        <w:t>No 2004.gada VDzTI ir veikusi 2</w:t>
      </w:r>
      <w:r w:rsidRPr="006006BD">
        <w:rPr>
          <w:rFonts w:ascii="Calibri" w:hAnsi="Calibri" w:cs="Calibri"/>
          <w:color w:val="auto"/>
          <w:sz w:val="22"/>
          <w:szCs w:val="22"/>
          <w:lang w:val="lv-LV"/>
        </w:rPr>
        <w:t>272</w:t>
      </w:r>
      <w:r w:rsidR="00224669" w:rsidRPr="006006BD">
        <w:rPr>
          <w:rFonts w:ascii="Calibri" w:hAnsi="Calibri" w:cs="Calibri"/>
          <w:color w:val="auto"/>
          <w:sz w:val="22"/>
          <w:szCs w:val="22"/>
          <w:lang w:val="lv-LV"/>
        </w:rPr>
        <w:t xml:space="preserve"> pārbaudes. </w:t>
      </w:r>
    </w:p>
    <w:p w:rsidR="00F2784E" w:rsidRPr="006006BD" w:rsidRDefault="00F2784E" w:rsidP="00EF209D">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z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t xml:space="preserve">VDzTI </w:t>
      </w:r>
      <w:r w:rsidRPr="006006BD">
        <w:rPr>
          <w:rFonts w:ascii="Calibri" w:hAnsi="Calibri" w:cs="Calibri"/>
          <w:color w:val="auto"/>
          <w:sz w:val="22"/>
          <w:lang w:val="lv-LV"/>
        </w:rPr>
        <w:t xml:space="preserve">85% gadījumos ir nodrošinātas plānotās pārbaudes. Vidēji neplānoto pārbaužu skaits pa gadiem svārstās 15-30%  robežās.  Katru mēnesi VDzTI plāno pārbaudes izvērtējot </w:t>
      </w:r>
      <w:r w:rsidR="00233705">
        <w:rPr>
          <w:rFonts w:ascii="Calibri" w:hAnsi="Calibri" w:cs="Calibri"/>
          <w:color w:val="auto"/>
          <w:sz w:val="22"/>
          <w:lang w:val="lv-LV"/>
        </w:rPr>
        <w:t xml:space="preserve">dzelzceļa nozares komersantu darbības </w:t>
      </w:r>
      <w:r w:rsidRPr="006006BD">
        <w:rPr>
          <w:rFonts w:ascii="Calibri" w:hAnsi="Calibri" w:cs="Calibri"/>
          <w:color w:val="auto"/>
          <w:sz w:val="22"/>
          <w:lang w:val="lv-LV"/>
        </w:rPr>
        <w:t xml:space="preserve">riskus.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FF6BC6" w:rsidTr="00EF209D">
        <w:tc>
          <w:tcPr>
            <w:tcW w:w="576" w:type="dxa"/>
            <w:shd w:val="clear" w:color="auto" w:fill="D9D9D9" w:themeFill="background1" w:themeFillShade="D9"/>
          </w:tcPr>
          <w:p w:rsidR="00224669" w:rsidRPr="006006BD" w:rsidRDefault="002C187B" w:rsidP="006E08C3">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rsidR="00224669" w:rsidRPr="00B75841" w:rsidRDefault="00224669" w:rsidP="00AD6975">
            <w:pPr>
              <w:pStyle w:val="BodyText"/>
              <w:tabs>
                <w:tab w:val="left" w:pos="709"/>
              </w:tabs>
              <w:jc w:val="both"/>
              <w:rPr>
                <w:rFonts w:ascii="Calibri" w:hAnsi="Calibri" w:cs="Calibri"/>
                <w:b/>
                <w:iCs/>
                <w:sz w:val="22"/>
                <w:szCs w:val="22"/>
              </w:rPr>
            </w:pPr>
            <w:r w:rsidRPr="00B75841">
              <w:rPr>
                <w:rFonts w:ascii="Calibri" w:hAnsi="Calibri" w:cs="Calibri"/>
                <w:b/>
                <w:iCs/>
                <w:sz w:val="22"/>
                <w:szCs w:val="22"/>
              </w:rPr>
              <w:t>Lai plānotu pārbaudes, VDzTI  ir noteikusi skaidrus pārbaužu biežuma un periodiskuma kritērijus komercsabiedrībās. Drošības pārvaldības sistēmu auditēšana tiek plānota trīs gadu periodam.</w:t>
            </w:r>
            <w:r w:rsidR="00AD6975">
              <w:rPr>
                <w:rFonts w:ascii="Calibri" w:hAnsi="Calibri" w:cs="Calibri"/>
                <w:b/>
                <w:iCs/>
                <w:sz w:val="22"/>
                <w:szCs w:val="22"/>
              </w:rPr>
              <w:t xml:space="preserve"> </w:t>
            </w:r>
            <w:r w:rsidR="002C187B" w:rsidRPr="00B75841">
              <w:rPr>
                <w:rFonts w:ascii="Calibri" w:hAnsi="Calibri" w:cs="Calibri"/>
                <w:b/>
                <w:iCs/>
                <w:sz w:val="22"/>
                <w:szCs w:val="22"/>
              </w:rPr>
              <w:t xml:space="preserve">Visu informāciju par pārbaudēm un auditiem VDzTI publicē savā tīmekļvietnē </w:t>
            </w:r>
            <w:hyperlink r:id="rId27" w:history="1">
              <w:r w:rsidR="002C187B" w:rsidRPr="00B75841">
                <w:rPr>
                  <w:rStyle w:val="Hyperlink"/>
                  <w:rFonts w:ascii="Calibri" w:hAnsi="Calibri" w:cs="Calibri"/>
                  <w:b/>
                  <w:iCs/>
                  <w:color w:val="auto"/>
                  <w:sz w:val="22"/>
                  <w:szCs w:val="22"/>
                </w:rPr>
                <w:t>www.vdzti.gov.lv</w:t>
              </w:r>
            </w:hyperlink>
            <w:r w:rsidR="00C523FD" w:rsidRPr="00B75841">
              <w:rPr>
                <w:rFonts w:ascii="Calibri" w:hAnsi="Calibri" w:cs="Calibri"/>
                <w:b/>
                <w:iCs/>
                <w:sz w:val="22"/>
                <w:szCs w:val="22"/>
              </w:rPr>
              <w:t>.</w:t>
            </w:r>
          </w:p>
        </w:tc>
      </w:tr>
    </w:tbl>
    <w:p w:rsidR="00224669" w:rsidRPr="006006BD"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0" w:line="240" w:lineRule="auto"/>
        <w:jc w:val="both"/>
        <w:rPr>
          <w:rFonts w:ascii="Calibri" w:hAnsi="Calibri" w:cs="Calibri"/>
          <w:color w:val="auto"/>
          <w:sz w:val="22"/>
          <w:lang w:val="lv-LV"/>
        </w:rPr>
      </w:pPr>
      <w:r w:rsidRPr="006006BD">
        <w:rPr>
          <w:rFonts w:ascii="Calibri" w:hAnsi="Calibri" w:cs="Calibri"/>
          <w:color w:val="auto"/>
          <w:sz w:val="22"/>
          <w:szCs w:val="22"/>
          <w:lang w:val="lv-LV"/>
        </w:rPr>
        <w:tab/>
        <w:t xml:space="preserve">  </w:t>
      </w:r>
      <w:r w:rsidRPr="006006BD">
        <w:rPr>
          <w:rFonts w:ascii="Calibri" w:hAnsi="Calibri" w:cs="Calibri"/>
          <w:color w:val="auto"/>
          <w:sz w:val="22"/>
          <w:szCs w:val="22"/>
          <w:lang w:val="lv-LV"/>
        </w:rPr>
        <w:tab/>
      </w:r>
      <w:r w:rsidRPr="006006BD">
        <w:rPr>
          <w:rFonts w:ascii="Calibri" w:hAnsi="Calibri" w:cs="Calibri"/>
          <w:color w:val="auto"/>
          <w:sz w:val="22"/>
          <w:lang w:val="lv-LV"/>
        </w:rPr>
        <w:t>Nosakot pārbaudes apjomu, VD</w:t>
      </w:r>
      <w:r w:rsidR="00AD6975">
        <w:rPr>
          <w:rFonts w:ascii="Calibri" w:hAnsi="Calibri" w:cs="Calibri"/>
          <w:color w:val="auto"/>
          <w:sz w:val="22"/>
          <w:lang w:val="lv-LV"/>
        </w:rPr>
        <w:t>z</w:t>
      </w:r>
      <w:r w:rsidRPr="006006BD">
        <w:rPr>
          <w:rFonts w:ascii="Calibri" w:hAnsi="Calibri" w:cs="Calibri"/>
          <w:color w:val="auto"/>
          <w:sz w:val="22"/>
          <w:lang w:val="lv-LV"/>
        </w:rPr>
        <w:t xml:space="preserve">TI izvērtē tās rīcībā esošo informāciju, veic analīzi, un apkopo informāciju par iepriekšējās pārbaudēs noteikto norādījumu ieviešanu. VDzTI veicot pārbaudes, piemēro “konsultē vispirms” principu. Mērķis ir panākt, lai paši komersanti izprot, cik liela nozīme ir drošībai un risku identificēšanai.  </w:t>
      </w:r>
    </w:p>
    <w:p w:rsidR="00224669" w:rsidRPr="006006BD" w:rsidRDefault="00224669" w:rsidP="00EF209D">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0" w:line="240" w:lineRule="auto"/>
        <w:jc w:val="right"/>
        <w:rPr>
          <w:rFonts w:ascii="Calibri" w:hAnsi="Calibri" w:cs="Calibri"/>
          <w:color w:val="auto"/>
          <w:sz w:val="22"/>
          <w:szCs w:val="22"/>
          <w:lang w:val="lv-LV"/>
        </w:rPr>
      </w:pPr>
      <w:r w:rsidRPr="006006BD">
        <w:rPr>
          <w:rFonts w:ascii="Calibri" w:hAnsi="Calibri" w:cs="Calibri"/>
          <w:color w:val="auto"/>
          <w:sz w:val="22"/>
          <w:lang w:val="lv-LV"/>
        </w:rPr>
        <w:tab/>
      </w:r>
      <w:r w:rsidRPr="006006BD">
        <w:rPr>
          <w:rFonts w:ascii="Calibri" w:hAnsi="Calibri" w:cs="Calibri"/>
          <w:color w:val="auto"/>
          <w:sz w:val="22"/>
          <w:lang w:val="lv-LV"/>
        </w:rPr>
        <w:tab/>
      </w:r>
      <w:r w:rsidRPr="006006BD">
        <w:rPr>
          <w:rFonts w:ascii="Calibri" w:hAnsi="Calibri" w:cs="Calibri"/>
          <w:b/>
          <w:color w:val="auto"/>
          <w:szCs w:val="22"/>
          <w:lang w:val="lv-LV"/>
        </w:rPr>
        <w:t>9.tabula</w:t>
      </w:r>
      <w:r w:rsidR="00233705">
        <w:rPr>
          <w:rFonts w:ascii="Calibri" w:hAnsi="Calibri" w:cs="Calibri"/>
          <w:b/>
          <w:color w:val="auto"/>
          <w:szCs w:val="22"/>
          <w:lang w:val="lv-LV"/>
        </w:rPr>
        <w:t>.</w:t>
      </w:r>
      <w:r w:rsidRPr="006006BD">
        <w:rPr>
          <w:rFonts w:ascii="Calibri" w:hAnsi="Calibri" w:cs="Calibri"/>
          <w:b/>
          <w:color w:val="auto"/>
          <w:szCs w:val="22"/>
          <w:lang w:val="lv-LV"/>
        </w:rPr>
        <w:t xml:space="preserve"> Pārbaudes un pārbaudēs pieņemtie lēmumi pa gadiem</w:t>
      </w:r>
    </w:p>
    <w:tbl>
      <w:tblPr>
        <w:tblStyle w:val="TableGrid"/>
        <w:tblW w:w="99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0"/>
        <w:gridCol w:w="850"/>
        <w:gridCol w:w="850"/>
        <w:gridCol w:w="850"/>
        <w:gridCol w:w="850"/>
        <w:gridCol w:w="850"/>
      </w:tblGrid>
      <w:tr w:rsidR="00F2784E" w:rsidRPr="006006BD" w:rsidTr="006E08C3">
        <w:trPr>
          <w:trHeight w:val="283"/>
        </w:trPr>
        <w:tc>
          <w:tcPr>
            <w:tcW w:w="5670" w:type="dxa"/>
          </w:tcPr>
          <w:p w:rsidR="00F2784E" w:rsidRPr="006006BD" w:rsidRDefault="00F2784E" w:rsidP="00F2784E">
            <w:pPr>
              <w:spacing w:after="0" w:line="240" w:lineRule="auto"/>
              <w:jc w:val="both"/>
              <w:rPr>
                <w:rFonts w:ascii="Calibri" w:hAnsi="Calibri" w:cs="Calibri"/>
                <w:color w:val="auto"/>
                <w:sz w:val="22"/>
                <w:szCs w:val="22"/>
                <w:lang w:val="lv-LV"/>
              </w:rPr>
            </w:pP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2015</w:t>
            </w: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2016</w:t>
            </w: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2017</w:t>
            </w: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2018</w:t>
            </w: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2019</w:t>
            </w:r>
          </w:p>
        </w:tc>
      </w:tr>
      <w:tr w:rsidR="00F2784E" w:rsidRPr="006006BD" w:rsidTr="006E08C3">
        <w:tc>
          <w:tcPr>
            <w:tcW w:w="5670" w:type="dxa"/>
            <w:vAlign w:val="center"/>
          </w:tcPr>
          <w:p w:rsidR="00F2784E" w:rsidRPr="006006BD" w:rsidRDefault="00F2784E" w:rsidP="00F2784E">
            <w:pPr>
              <w:spacing w:after="0" w:line="240" w:lineRule="auto"/>
              <w:rPr>
                <w:rStyle w:val="Strong"/>
                <w:rFonts w:ascii="Calibri" w:hAnsi="Calibri" w:cs="Calibri"/>
                <w:color w:val="auto"/>
                <w:sz w:val="22"/>
                <w:szCs w:val="22"/>
                <w:lang w:val="lv-LV"/>
              </w:rPr>
            </w:pPr>
            <w:r w:rsidRPr="006006BD">
              <w:rPr>
                <w:rStyle w:val="Strong"/>
                <w:rFonts w:ascii="Calibri" w:hAnsi="Calibri" w:cs="Calibri"/>
                <w:color w:val="auto"/>
                <w:sz w:val="22"/>
                <w:szCs w:val="22"/>
                <w:lang w:val="lv-LV"/>
              </w:rPr>
              <w:t>Pārbaudes</w:t>
            </w: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174</w:t>
            </w: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161</w:t>
            </w:r>
          </w:p>
        </w:tc>
        <w:tc>
          <w:tcPr>
            <w:tcW w:w="850" w:type="dxa"/>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126</w:t>
            </w: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154</w:t>
            </w:r>
          </w:p>
        </w:tc>
        <w:tc>
          <w:tcPr>
            <w:tcW w:w="850" w:type="dxa"/>
            <w:vAlign w:val="center"/>
          </w:tcPr>
          <w:p w:rsidR="00F2784E" w:rsidRPr="006006BD" w:rsidRDefault="00E60AC5" w:rsidP="00F2784E">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136</w:t>
            </w:r>
          </w:p>
        </w:tc>
      </w:tr>
      <w:tr w:rsidR="00F2784E" w:rsidRPr="006006BD" w:rsidTr="006E08C3">
        <w:tc>
          <w:tcPr>
            <w:tcW w:w="5670" w:type="dxa"/>
            <w:vAlign w:val="center"/>
          </w:tcPr>
          <w:p w:rsidR="00F2784E" w:rsidRPr="006006BD" w:rsidRDefault="00F2784E" w:rsidP="00F2784E">
            <w:pPr>
              <w:spacing w:after="0" w:line="240" w:lineRule="auto"/>
              <w:jc w:val="right"/>
              <w:rPr>
                <w:rStyle w:val="Strong"/>
                <w:rFonts w:ascii="Calibri" w:hAnsi="Calibri" w:cs="Calibri"/>
                <w:b w:val="0"/>
                <w:color w:val="auto"/>
                <w:sz w:val="22"/>
                <w:szCs w:val="22"/>
                <w:lang w:val="lv-LV"/>
              </w:rPr>
            </w:pPr>
            <w:r w:rsidRPr="006006BD">
              <w:rPr>
                <w:rFonts w:ascii="Calibri" w:hAnsi="Calibri" w:cs="Calibri"/>
                <w:color w:val="auto"/>
                <w:sz w:val="22"/>
                <w:szCs w:val="22"/>
                <w:lang w:val="lv-LV"/>
              </w:rPr>
              <w:t>drošības pārvaldības sistēmas elementu audits</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r w:rsidRPr="006006BD">
              <w:rPr>
                <w:rStyle w:val="FootnoteReference"/>
                <w:rFonts w:ascii="Calibri" w:hAnsi="Calibri" w:cs="Calibri"/>
                <w:color w:val="auto"/>
                <w:sz w:val="22"/>
                <w:szCs w:val="22"/>
                <w:lang w:val="lv-LV"/>
              </w:rPr>
              <w:footnoteReference w:id="3"/>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r w:rsidRPr="006006BD">
              <w:rPr>
                <w:rStyle w:val="FootnoteReference"/>
                <w:rFonts w:ascii="Calibri" w:hAnsi="Calibri" w:cs="Calibri"/>
                <w:color w:val="auto"/>
                <w:sz w:val="22"/>
                <w:szCs w:val="22"/>
                <w:lang w:val="lv-LV"/>
              </w:rPr>
              <w:footnoteReference w:id="4"/>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r>
      <w:tr w:rsidR="00F2784E" w:rsidRPr="006006BD" w:rsidTr="006E08C3">
        <w:tc>
          <w:tcPr>
            <w:tcW w:w="5670" w:type="dxa"/>
            <w:vAlign w:val="center"/>
          </w:tcPr>
          <w:p w:rsidR="00F2784E" w:rsidRPr="006006BD" w:rsidRDefault="00F2784E" w:rsidP="00F2784E">
            <w:pPr>
              <w:spacing w:after="0" w:line="240" w:lineRule="auto"/>
              <w:jc w:val="right"/>
              <w:rPr>
                <w:rStyle w:val="Strong"/>
                <w:rFonts w:ascii="Calibri" w:hAnsi="Calibri" w:cs="Calibri"/>
                <w:b w:val="0"/>
                <w:color w:val="auto"/>
                <w:sz w:val="22"/>
                <w:szCs w:val="22"/>
                <w:lang w:val="lv-LV"/>
              </w:rPr>
            </w:pPr>
            <w:r w:rsidRPr="006006BD">
              <w:rPr>
                <w:rStyle w:val="Strong"/>
                <w:rFonts w:ascii="Calibri" w:hAnsi="Calibri" w:cs="Calibri"/>
                <w:color w:val="auto"/>
                <w:sz w:val="22"/>
                <w:szCs w:val="22"/>
                <w:lang w:val="lv-LV"/>
              </w:rPr>
              <w:t>kompleksā  pārbaude</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91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84</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92</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90</w:t>
            </w:r>
          </w:p>
        </w:tc>
      </w:tr>
      <w:tr w:rsidR="00F2784E" w:rsidRPr="006006BD" w:rsidTr="006E08C3">
        <w:tc>
          <w:tcPr>
            <w:tcW w:w="5670" w:type="dxa"/>
            <w:vAlign w:val="center"/>
          </w:tcPr>
          <w:p w:rsidR="00F2784E" w:rsidRPr="006006BD" w:rsidRDefault="00F2784E" w:rsidP="00F2784E">
            <w:pPr>
              <w:spacing w:after="0" w:line="240" w:lineRule="auto"/>
              <w:jc w:val="right"/>
              <w:rPr>
                <w:rStyle w:val="Strong"/>
                <w:rFonts w:ascii="Calibri" w:hAnsi="Calibri" w:cs="Calibri"/>
                <w:b w:val="0"/>
                <w:color w:val="auto"/>
                <w:sz w:val="22"/>
                <w:szCs w:val="22"/>
                <w:lang w:val="lv-LV"/>
              </w:rPr>
            </w:pPr>
            <w:r w:rsidRPr="006006BD">
              <w:rPr>
                <w:rStyle w:val="Strong"/>
                <w:rFonts w:ascii="Calibri" w:hAnsi="Calibri" w:cs="Calibri"/>
                <w:color w:val="auto"/>
                <w:sz w:val="22"/>
                <w:szCs w:val="22"/>
                <w:lang w:val="lv-LV"/>
              </w:rPr>
              <w:t>mērķa pārbaude</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82</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77</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44</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61</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45</w:t>
            </w:r>
          </w:p>
        </w:tc>
      </w:tr>
      <w:tr w:rsidR="00F2784E" w:rsidRPr="006006BD" w:rsidTr="006E08C3">
        <w:tc>
          <w:tcPr>
            <w:tcW w:w="5670" w:type="dxa"/>
          </w:tcPr>
          <w:p w:rsidR="00F2784E" w:rsidRPr="006006BD" w:rsidRDefault="00F2784E" w:rsidP="00F2784E">
            <w:pPr>
              <w:spacing w:after="0" w:line="240" w:lineRule="auto"/>
              <w:rPr>
                <w:rFonts w:ascii="Calibri" w:hAnsi="Calibri" w:cs="Calibri"/>
                <w:b/>
                <w:color w:val="auto"/>
                <w:sz w:val="22"/>
                <w:szCs w:val="22"/>
                <w:lang w:val="lv-LV"/>
              </w:rPr>
            </w:pPr>
            <w:r w:rsidRPr="006006BD">
              <w:rPr>
                <w:rFonts w:ascii="Calibri" w:hAnsi="Calibri" w:cs="Calibri"/>
                <w:b/>
                <w:color w:val="auto"/>
                <w:sz w:val="22"/>
                <w:szCs w:val="22"/>
                <w:lang w:val="lv-LV"/>
              </w:rPr>
              <w:t>Pieņemti lēmumi par</w:t>
            </w: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p>
        </w:tc>
        <w:tc>
          <w:tcPr>
            <w:tcW w:w="850" w:type="dxa"/>
            <w:vAlign w:val="center"/>
          </w:tcPr>
          <w:p w:rsidR="00F2784E" w:rsidRPr="006006BD" w:rsidRDefault="00F2784E" w:rsidP="00F2784E">
            <w:pPr>
              <w:spacing w:after="0" w:line="240" w:lineRule="auto"/>
              <w:jc w:val="center"/>
              <w:rPr>
                <w:rFonts w:ascii="Calibri" w:hAnsi="Calibri" w:cs="Calibri"/>
                <w:b/>
                <w:color w:val="auto"/>
                <w:sz w:val="22"/>
                <w:szCs w:val="22"/>
                <w:lang w:val="lv-LV"/>
              </w:rPr>
            </w:pPr>
          </w:p>
        </w:tc>
      </w:tr>
      <w:tr w:rsidR="00F2784E" w:rsidRPr="006006BD" w:rsidTr="006E08C3">
        <w:tc>
          <w:tcPr>
            <w:tcW w:w="5670" w:type="dxa"/>
            <w:vAlign w:val="center"/>
          </w:tcPr>
          <w:p w:rsidR="00F2784E" w:rsidRPr="006006BD" w:rsidRDefault="00F2784E" w:rsidP="00F2784E">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 xml:space="preserve">sliežu ceļu ekspluatācijas aizliegšanu </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48</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62</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74</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106</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126</w:t>
            </w:r>
          </w:p>
        </w:tc>
      </w:tr>
      <w:tr w:rsidR="00F2784E" w:rsidRPr="006006BD" w:rsidTr="006E08C3">
        <w:tc>
          <w:tcPr>
            <w:tcW w:w="5670" w:type="dxa"/>
            <w:vAlign w:val="center"/>
          </w:tcPr>
          <w:p w:rsidR="00F2784E" w:rsidRPr="006006BD" w:rsidRDefault="00F2784E" w:rsidP="00F2784E">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 xml:space="preserve">ritošā sastāva atstādināšanu no ekspluatācijas </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24</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22</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23</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13</w:t>
            </w:r>
          </w:p>
        </w:tc>
      </w:tr>
      <w:tr w:rsidR="00F2784E" w:rsidRPr="006006BD" w:rsidTr="006E08C3">
        <w:tc>
          <w:tcPr>
            <w:tcW w:w="5670" w:type="dxa"/>
            <w:vAlign w:val="center"/>
          </w:tcPr>
          <w:p w:rsidR="00F2784E" w:rsidRPr="006006BD" w:rsidRDefault="00F2784E" w:rsidP="00F2784E">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 xml:space="preserve"> dzelzceļu speciālistu atstādināšana no darba pienākumu veikšanas</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13</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r>
      <w:tr w:rsidR="00F2784E" w:rsidRPr="006006BD" w:rsidTr="006E08C3">
        <w:tc>
          <w:tcPr>
            <w:tcW w:w="5670" w:type="dxa"/>
            <w:vAlign w:val="center"/>
          </w:tcPr>
          <w:p w:rsidR="00F2784E" w:rsidRPr="006006BD" w:rsidRDefault="00F2784E" w:rsidP="00F2784E">
            <w:pPr>
              <w:spacing w:after="0" w:line="240" w:lineRule="auto"/>
              <w:rPr>
                <w:rFonts w:ascii="Calibri" w:hAnsi="Calibri" w:cs="Calibri"/>
                <w:color w:val="auto"/>
                <w:sz w:val="22"/>
                <w:szCs w:val="22"/>
                <w:lang w:val="lv-LV"/>
              </w:rPr>
            </w:pPr>
            <w:r w:rsidRPr="006006BD">
              <w:rPr>
                <w:rFonts w:ascii="Calibri" w:hAnsi="Calibri" w:cs="Calibri"/>
                <w:color w:val="auto"/>
                <w:sz w:val="22"/>
                <w:szCs w:val="22"/>
                <w:lang w:val="lv-LV"/>
              </w:rPr>
              <w:t xml:space="preserve">Izdoti priekšraksti  </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89</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75</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75</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124</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106</w:t>
            </w:r>
          </w:p>
        </w:tc>
      </w:tr>
      <w:tr w:rsidR="00F2784E" w:rsidRPr="006006BD" w:rsidTr="006E08C3">
        <w:tc>
          <w:tcPr>
            <w:tcW w:w="5670" w:type="dxa"/>
            <w:vAlign w:val="center"/>
          </w:tcPr>
          <w:p w:rsidR="00F2784E" w:rsidRPr="006006BD" w:rsidRDefault="00F2784E" w:rsidP="00F2784E">
            <w:pPr>
              <w:spacing w:after="0" w:line="240" w:lineRule="auto"/>
              <w:rPr>
                <w:rFonts w:ascii="Calibri" w:hAnsi="Calibri" w:cs="Calibri"/>
                <w:color w:val="auto"/>
                <w:sz w:val="22"/>
                <w:szCs w:val="22"/>
                <w:lang w:val="lv-LV"/>
              </w:rPr>
            </w:pPr>
            <w:r w:rsidRPr="006006BD">
              <w:rPr>
                <w:rFonts w:ascii="Calibri" w:hAnsi="Calibri" w:cs="Calibri"/>
                <w:color w:val="auto"/>
                <w:sz w:val="22"/>
                <w:szCs w:val="22"/>
                <w:lang w:val="lv-LV"/>
              </w:rPr>
              <w:t>Sagatavoti audita ziņojumi</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r>
      <w:tr w:rsidR="00F2784E" w:rsidRPr="006006BD" w:rsidTr="006E08C3">
        <w:tc>
          <w:tcPr>
            <w:tcW w:w="5670" w:type="dxa"/>
            <w:vAlign w:val="center"/>
          </w:tcPr>
          <w:p w:rsidR="00F2784E" w:rsidRPr="006006BD" w:rsidRDefault="00F2784E" w:rsidP="00F2784E">
            <w:pPr>
              <w:spacing w:after="0" w:line="240" w:lineRule="auto"/>
              <w:rPr>
                <w:rFonts w:ascii="Calibri" w:hAnsi="Calibri" w:cs="Calibri"/>
                <w:color w:val="auto"/>
                <w:sz w:val="22"/>
                <w:szCs w:val="22"/>
                <w:lang w:val="lv-LV"/>
              </w:rPr>
            </w:pPr>
            <w:r w:rsidRPr="006006BD">
              <w:rPr>
                <w:rFonts w:ascii="Calibri" w:hAnsi="Calibri" w:cs="Calibri"/>
                <w:color w:val="auto"/>
                <w:sz w:val="22"/>
                <w:szCs w:val="22"/>
                <w:lang w:val="lv-LV"/>
              </w:rPr>
              <w:t>Sastādīti administratīvie protokoli</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10</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7</w:t>
            </w:r>
          </w:p>
        </w:tc>
        <w:tc>
          <w:tcPr>
            <w:tcW w:w="850" w:type="dxa"/>
            <w:vAlign w:val="center"/>
          </w:tcPr>
          <w:p w:rsidR="00F2784E" w:rsidRPr="006006BD" w:rsidRDefault="00F2784E"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850" w:type="dxa"/>
            <w:vAlign w:val="center"/>
          </w:tcPr>
          <w:p w:rsidR="00F2784E" w:rsidRPr="006006BD" w:rsidRDefault="00E60AC5" w:rsidP="00F2784E">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r>
    </w:tbl>
    <w:p w:rsidR="00224669" w:rsidRPr="006006BD" w:rsidRDefault="00224669" w:rsidP="00806C8F">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pacing w:val="-1"/>
          <w:sz w:val="22"/>
          <w:lang w:val="lv-LV"/>
        </w:rPr>
      </w:pPr>
      <w:r w:rsidRPr="006006BD">
        <w:rPr>
          <w:rFonts w:ascii="Calibri" w:hAnsi="Calibri" w:cs="Calibri"/>
          <w:color w:val="auto"/>
          <w:sz w:val="22"/>
          <w:lang w:val="lv-LV"/>
        </w:rPr>
        <w:tab/>
      </w:r>
      <w:r w:rsidRPr="006006BD">
        <w:rPr>
          <w:rFonts w:ascii="Calibri" w:hAnsi="Calibri" w:cs="Calibri"/>
          <w:color w:val="auto"/>
          <w:sz w:val="22"/>
          <w:lang w:val="lv-LV"/>
        </w:rPr>
        <w:tab/>
      </w:r>
      <w:r w:rsidR="00E60AC5" w:rsidRPr="006006BD">
        <w:rPr>
          <w:rFonts w:ascii="Calibri" w:hAnsi="Calibri" w:cs="Calibri"/>
          <w:color w:val="auto"/>
          <w:sz w:val="22"/>
          <w:lang w:val="lv-LV"/>
        </w:rPr>
        <w:t>Slie</w:t>
      </w:r>
      <w:r w:rsidRPr="006006BD">
        <w:rPr>
          <w:rFonts w:ascii="Calibri" w:hAnsi="Calibri" w:cs="Calibri"/>
          <w:color w:val="auto"/>
          <w:sz w:val="22"/>
          <w:lang w:val="lv-LV"/>
        </w:rPr>
        <w:t>žu ceļu ekspluatācijas aizliegum</w:t>
      </w:r>
      <w:r w:rsidR="00E60AC5" w:rsidRPr="006006BD">
        <w:rPr>
          <w:rFonts w:ascii="Calibri" w:hAnsi="Calibri" w:cs="Calibri"/>
          <w:color w:val="auto"/>
          <w:sz w:val="22"/>
          <w:lang w:val="lv-LV"/>
        </w:rPr>
        <w:t>s ir saistāms ar ne</w:t>
      </w:r>
      <w:r w:rsidRPr="006006BD">
        <w:rPr>
          <w:rFonts w:ascii="Calibri" w:hAnsi="Calibri" w:cs="Calibri"/>
          <w:color w:val="auto"/>
          <w:sz w:val="22"/>
          <w:lang w:val="lv-LV"/>
        </w:rPr>
        <w:t>pietiekošas uzmanības pievēršan</w:t>
      </w:r>
      <w:r w:rsidR="00E60AC5" w:rsidRPr="006006BD">
        <w:rPr>
          <w:rFonts w:ascii="Calibri" w:hAnsi="Calibri" w:cs="Calibri"/>
          <w:color w:val="auto"/>
          <w:sz w:val="22"/>
          <w:lang w:val="lv-LV"/>
        </w:rPr>
        <w:t>u</w:t>
      </w:r>
      <w:r w:rsidRPr="006006BD">
        <w:rPr>
          <w:rFonts w:ascii="Calibri" w:hAnsi="Calibri" w:cs="Calibri"/>
          <w:color w:val="auto"/>
          <w:sz w:val="22"/>
          <w:lang w:val="lv-LV"/>
        </w:rPr>
        <w:t xml:space="preserve"> sliežu ceļu tehniskajam stāvoklim uz privātās lietošanas dzelzceļa infrastruktūras.  201</w:t>
      </w:r>
      <w:r w:rsidR="00E60AC5" w:rsidRPr="006006BD">
        <w:rPr>
          <w:rFonts w:ascii="Calibri" w:hAnsi="Calibri" w:cs="Calibri"/>
          <w:color w:val="auto"/>
          <w:sz w:val="22"/>
          <w:lang w:val="lv-LV"/>
        </w:rPr>
        <w:t>9</w:t>
      </w:r>
      <w:r w:rsidRPr="006006BD">
        <w:rPr>
          <w:rFonts w:ascii="Calibri" w:hAnsi="Calibri" w:cs="Calibri"/>
          <w:color w:val="auto"/>
          <w:sz w:val="22"/>
          <w:lang w:val="lv-LV"/>
        </w:rPr>
        <w:t xml:space="preserve">. gadā ir sastādīti trīs </w:t>
      </w:r>
      <w:r w:rsidRPr="006006BD">
        <w:rPr>
          <w:rFonts w:ascii="Calibri" w:hAnsi="Calibri" w:cs="Calibri"/>
          <w:color w:val="auto"/>
          <w:sz w:val="22"/>
          <w:lang w:val="lv-LV"/>
        </w:rPr>
        <w:lastRenderedPageBreak/>
        <w:t xml:space="preserve">administratīvie protokoli,  piemērojot naudas sodus par </w:t>
      </w:r>
      <w:r w:rsidRPr="006006BD">
        <w:rPr>
          <w:rFonts w:ascii="Calibri" w:hAnsi="Calibri" w:cs="Calibri"/>
          <w:color w:val="auto"/>
          <w:spacing w:val="-1"/>
          <w:sz w:val="22"/>
          <w:lang w:val="lv-LV"/>
        </w:rPr>
        <w:t xml:space="preserve">drošas satiksmes organizēšanas neievērošanu un neatļautu darbu organizēšanu. </w:t>
      </w:r>
    </w:p>
    <w:p w:rsidR="00224669" w:rsidRPr="006006BD"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t>VDzTI nodrošina arī dzelzceļa pārbrauktuvju apsekošanu. Pārbrauktuvju apsekošana tiek organizēta saskaņā ar 1998.gada 6.oktobra Ministru kabineta noteikumiem Nr.392 „</w:t>
      </w:r>
      <w:hyperlink r:id="rId28" w:history="1">
        <w:r w:rsidRPr="006006BD">
          <w:rPr>
            <w:rStyle w:val="Hyperlink"/>
            <w:rFonts w:ascii="Calibri" w:hAnsi="Calibri" w:cs="Calibri"/>
            <w:color w:val="auto"/>
            <w:sz w:val="22"/>
            <w:szCs w:val="22"/>
            <w:lang w:val="lv-LV"/>
          </w:rPr>
          <w:t>Dzelzceļa pārbrauktuvju un pāreju ierīkošanas, aprīkošanas, apkalpošanas un slēgšanas noteikumi</w:t>
        </w:r>
      </w:hyperlink>
      <w:r w:rsidRPr="006006BD">
        <w:rPr>
          <w:rFonts w:ascii="Calibri" w:hAnsi="Calibri" w:cs="Calibri"/>
          <w:color w:val="auto"/>
          <w:sz w:val="22"/>
          <w:szCs w:val="22"/>
          <w:lang w:val="lv-LV"/>
        </w:rPr>
        <w:t>”. Bez ikgadējām komisijas apskatēm, vecākie inspektori ir arī piedalījušies komisiju darbā par dzelzceļa pārbrauktuvju ierīkošanu, aprīkošanu vai slēgšanu. Pārskata gadā inspektori ir piedalījušies deviņu dzelzceļa pārbrauktuvju ierīkošanas, aprīkošanas vai slēgšanas komisiju darbā.</w:t>
      </w:r>
    </w:p>
    <w:p w:rsidR="00224669" w:rsidRPr="006006BD"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006BD">
        <w:rPr>
          <w:rFonts w:ascii="Calibri" w:hAnsi="Calibri" w:cs="Calibri"/>
          <w:color w:val="auto"/>
          <w:sz w:val="22"/>
          <w:szCs w:val="22"/>
          <w:lang w:val="lv-LV"/>
        </w:rPr>
        <w:tab/>
      </w:r>
      <w:r w:rsidRPr="006006BD">
        <w:rPr>
          <w:rFonts w:ascii="Calibri" w:hAnsi="Calibri" w:cs="Calibri"/>
          <w:color w:val="auto"/>
          <w:sz w:val="22"/>
          <w:szCs w:val="22"/>
          <w:lang w:val="lv-LV"/>
        </w:rPr>
        <w:tab/>
        <w:t>201</w:t>
      </w:r>
      <w:r w:rsidR="005B32E9" w:rsidRPr="006006BD">
        <w:rPr>
          <w:rFonts w:ascii="Calibri" w:hAnsi="Calibri" w:cs="Calibri"/>
          <w:color w:val="auto"/>
          <w:sz w:val="22"/>
          <w:szCs w:val="22"/>
          <w:lang w:val="lv-LV"/>
        </w:rPr>
        <w:t>9</w:t>
      </w:r>
      <w:r w:rsidRPr="006006BD">
        <w:rPr>
          <w:rFonts w:ascii="Calibri" w:hAnsi="Calibri" w:cs="Calibri"/>
          <w:color w:val="auto"/>
          <w:sz w:val="22"/>
          <w:szCs w:val="22"/>
          <w:lang w:val="lv-LV"/>
        </w:rPr>
        <w:t>.gadā  vecākie inspektori ir piedalījušies 2</w:t>
      </w:r>
      <w:r w:rsidR="005B32E9" w:rsidRPr="006006BD">
        <w:rPr>
          <w:rFonts w:ascii="Calibri" w:hAnsi="Calibri" w:cs="Calibri"/>
          <w:color w:val="auto"/>
          <w:sz w:val="22"/>
          <w:szCs w:val="22"/>
          <w:lang w:val="lv-LV"/>
        </w:rPr>
        <w:t>21</w:t>
      </w:r>
      <w:r w:rsidR="00AD6975">
        <w:rPr>
          <w:rFonts w:ascii="Calibri" w:hAnsi="Calibri" w:cs="Calibri"/>
          <w:color w:val="auto"/>
          <w:sz w:val="22"/>
          <w:szCs w:val="22"/>
          <w:lang w:val="lv-LV"/>
        </w:rPr>
        <w:t xml:space="preserve"> ikgadējā</w:t>
      </w:r>
      <w:r w:rsidRPr="006006BD">
        <w:rPr>
          <w:rFonts w:ascii="Calibri" w:hAnsi="Calibri" w:cs="Calibri"/>
          <w:color w:val="auto"/>
          <w:sz w:val="22"/>
          <w:szCs w:val="22"/>
          <w:lang w:val="lv-LV"/>
        </w:rPr>
        <w:t xml:space="preserve"> dzelzceļa pārbrauktuvju komisijas apskatē.  Vidējais rādītājs ir 137,93 pārbaudes gadā. </w:t>
      </w:r>
      <w:r w:rsidR="000A4325">
        <w:rPr>
          <w:rFonts w:ascii="Calibri" w:hAnsi="Calibri" w:cs="Calibri"/>
          <w:color w:val="auto"/>
          <w:sz w:val="22"/>
          <w:szCs w:val="22"/>
          <w:lang w:val="lv-LV"/>
        </w:rPr>
        <w:t>Pārbrauktuvju apskates tiek veiktas ar mērķi nodrošināt pārbrauktuves klātnes un tehniskā aprīkojuma atbilstošu kvalitāti drošai pārbrauktuves šķērsošanai lietotājiem.</w:t>
      </w:r>
      <w:r w:rsidRPr="006006BD">
        <w:rPr>
          <w:rFonts w:ascii="Calibri" w:hAnsi="Calibri" w:cs="Calibri"/>
          <w:color w:val="auto"/>
          <w:sz w:val="22"/>
          <w:szCs w:val="22"/>
          <w:lang w:val="lv-LV"/>
        </w:rPr>
        <w:t xml:space="preserve">  Pēc pārbrauktuvju apskatēm VDzTI uzrauga kā pārbrauktuvju </w:t>
      </w:r>
      <w:r w:rsidR="000A4325">
        <w:rPr>
          <w:rFonts w:ascii="Calibri" w:hAnsi="Calibri" w:cs="Calibri"/>
          <w:color w:val="auto"/>
          <w:sz w:val="22"/>
          <w:szCs w:val="22"/>
          <w:lang w:val="lv-LV"/>
        </w:rPr>
        <w:t>pārvaldītāji</w:t>
      </w:r>
      <w:r w:rsidRPr="006006BD">
        <w:rPr>
          <w:rFonts w:ascii="Calibri" w:hAnsi="Calibri" w:cs="Calibri"/>
          <w:color w:val="auto"/>
          <w:sz w:val="22"/>
          <w:szCs w:val="22"/>
          <w:lang w:val="lv-LV"/>
        </w:rPr>
        <w:t xml:space="preserve"> veic uzlabošanas pasākumus, lai </w:t>
      </w:r>
      <w:r w:rsidR="00B00660">
        <w:rPr>
          <w:rFonts w:ascii="Calibri" w:hAnsi="Calibri" w:cs="Calibri"/>
          <w:color w:val="auto"/>
          <w:sz w:val="22"/>
          <w:szCs w:val="22"/>
          <w:lang w:val="lv-LV"/>
        </w:rPr>
        <w:t>atjaunotu pārbrauktuves elementu stāvokli drošas lietošanas līmenī</w:t>
      </w:r>
      <w:r w:rsidRPr="006006BD">
        <w:rPr>
          <w:rFonts w:ascii="Calibri" w:hAnsi="Calibri" w:cs="Calibri"/>
          <w:color w:val="auto"/>
          <w:sz w:val="22"/>
          <w:szCs w:val="22"/>
          <w:lang w:val="lv-LV"/>
        </w:rPr>
        <w:t xml:space="preserve">. </w:t>
      </w:r>
    </w:p>
    <w:p w:rsidR="00224669" w:rsidRPr="006006BD" w:rsidRDefault="00224669" w:rsidP="00224669">
      <w:pPr>
        <w:pStyle w:val="Heading1"/>
        <w:pBdr>
          <w:bottom w:val="single" w:sz="4" w:space="0" w:color="auto"/>
        </w:pBdr>
        <w:spacing w:before="240"/>
        <w:rPr>
          <w:rFonts w:ascii="Calibri" w:hAnsi="Calibri" w:cs="Calibri"/>
          <w:b/>
          <w:color w:val="auto"/>
          <w:sz w:val="24"/>
          <w:szCs w:val="24"/>
          <w:lang w:val="lv-LV"/>
        </w:rPr>
      </w:pPr>
      <w:bookmarkStart w:id="29" w:name="_Toc43198275"/>
      <w:bookmarkStart w:id="30" w:name="_Toc51146311"/>
      <w:r w:rsidRPr="006006BD">
        <w:rPr>
          <w:rFonts w:ascii="Calibri" w:hAnsi="Calibri" w:cs="Calibri"/>
          <w:b/>
          <w:color w:val="auto"/>
          <w:sz w:val="24"/>
          <w:szCs w:val="24"/>
          <w:lang w:val="lv-LV"/>
        </w:rPr>
        <w:t xml:space="preserve">Dzelzceļa </w:t>
      </w:r>
      <w:r w:rsidR="00B60A5F" w:rsidRPr="006006BD">
        <w:rPr>
          <w:rFonts w:ascii="Calibri" w:hAnsi="Calibri" w:cs="Calibri"/>
          <w:b/>
          <w:color w:val="auto"/>
          <w:sz w:val="24"/>
          <w:szCs w:val="24"/>
          <w:lang w:val="lv-LV"/>
        </w:rPr>
        <w:t xml:space="preserve">satiksmes </w:t>
      </w:r>
      <w:r w:rsidRPr="006006BD">
        <w:rPr>
          <w:rFonts w:ascii="Calibri" w:hAnsi="Calibri" w:cs="Calibri"/>
          <w:b/>
          <w:color w:val="auto"/>
          <w:sz w:val="24"/>
          <w:szCs w:val="24"/>
          <w:lang w:val="lv-LV"/>
        </w:rPr>
        <w:t>negadījumu izmeklēšana</w:t>
      </w:r>
      <w:bookmarkEnd w:id="29"/>
      <w:bookmarkEnd w:id="30"/>
    </w:p>
    <w:p w:rsidR="00224669" w:rsidRPr="006006BD" w:rsidRDefault="00224669" w:rsidP="00224669">
      <w:pPr>
        <w:spacing w:after="12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VDzTI veic dzelzceļa satiksmes negadījumu izmeklēšanu un veic to uzskaiti. Dzelzceļa satiksmes negadī</w:t>
      </w:r>
      <w:r w:rsidR="00AD6975">
        <w:rPr>
          <w:rFonts w:ascii="Calibri" w:hAnsi="Calibri" w:cs="Calibri"/>
          <w:color w:val="auto"/>
          <w:sz w:val="22"/>
          <w:szCs w:val="22"/>
          <w:lang w:val="lv-LV"/>
        </w:rPr>
        <w:t>jumu izmeklēšana un uzskaite 2019.gadā ti</w:t>
      </w:r>
      <w:r w:rsidRPr="006006BD">
        <w:rPr>
          <w:rFonts w:ascii="Calibri" w:hAnsi="Calibri" w:cs="Calibri"/>
          <w:color w:val="auto"/>
          <w:sz w:val="22"/>
          <w:szCs w:val="22"/>
          <w:lang w:val="lv-LV"/>
        </w:rPr>
        <w:t>k</w:t>
      </w:r>
      <w:r w:rsidR="00AD6975">
        <w:rPr>
          <w:rFonts w:ascii="Calibri" w:hAnsi="Calibri" w:cs="Calibri"/>
          <w:color w:val="auto"/>
          <w:sz w:val="22"/>
          <w:szCs w:val="22"/>
          <w:lang w:val="lv-LV"/>
        </w:rPr>
        <w:t>a</w:t>
      </w:r>
      <w:r w:rsidRPr="006006BD">
        <w:rPr>
          <w:rFonts w:ascii="Calibri" w:hAnsi="Calibri" w:cs="Calibri"/>
          <w:color w:val="auto"/>
          <w:sz w:val="22"/>
          <w:szCs w:val="22"/>
          <w:lang w:val="lv-LV"/>
        </w:rPr>
        <w:t xml:space="preserve"> veikta saskaņā ar 2010.gada 28.oktobra Ministru kabineta noteikumu Nr.999 „Dzelzceļa satiksmes negadījumu klasifikācijas, izmeklēšanas un uzskaites kārtība” prasībām.</w:t>
      </w:r>
      <w:r w:rsidR="00B60A5F" w:rsidRPr="006006BD">
        <w:rPr>
          <w:rFonts w:ascii="Calibri" w:hAnsi="Calibri" w:cs="Calibri"/>
          <w:color w:val="auto"/>
          <w:sz w:val="22"/>
          <w:szCs w:val="22"/>
          <w:lang w:val="lv-LV"/>
        </w:rPr>
        <w:t xml:space="preserve"> </w:t>
      </w:r>
    </w:p>
    <w:p w:rsidR="00224669" w:rsidRPr="006006BD" w:rsidRDefault="00224669" w:rsidP="00224669">
      <w:pPr>
        <w:spacing w:after="120" w:line="240" w:lineRule="auto"/>
        <w:ind w:firstLine="720"/>
        <w:jc w:val="both"/>
        <w:rPr>
          <w:rFonts w:ascii="Calibri" w:hAnsi="Calibri" w:cs="Calibri"/>
          <w:color w:val="auto"/>
          <w:sz w:val="22"/>
          <w:szCs w:val="22"/>
          <w:lang w:val="lv-LV"/>
        </w:rPr>
      </w:pPr>
      <w:r w:rsidRPr="00CE78A3">
        <w:rPr>
          <w:rFonts w:ascii="Calibri" w:hAnsi="Calibri" w:cs="Calibri"/>
          <w:b/>
          <w:color w:val="auto"/>
          <w:sz w:val="22"/>
          <w:szCs w:val="22"/>
          <w:lang w:val="lv-LV"/>
        </w:rPr>
        <w:t>VDzTI 201</w:t>
      </w:r>
      <w:r w:rsidR="00B60A5F" w:rsidRPr="00CE78A3">
        <w:rPr>
          <w:rFonts w:ascii="Calibri" w:hAnsi="Calibri" w:cs="Calibri"/>
          <w:b/>
          <w:color w:val="auto"/>
          <w:sz w:val="22"/>
          <w:szCs w:val="22"/>
          <w:lang w:val="lv-LV"/>
        </w:rPr>
        <w:t>9</w:t>
      </w:r>
      <w:r w:rsidRPr="00CE78A3">
        <w:rPr>
          <w:rFonts w:ascii="Calibri" w:hAnsi="Calibri" w:cs="Calibri"/>
          <w:b/>
          <w:color w:val="auto"/>
          <w:sz w:val="22"/>
          <w:szCs w:val="22"/>
          <w:lang w:val="lv-LV"/>
        </w:rPr>
        <w:t xml:space="preserve">.gadā ir izmeklējusi </w:t>
      </w:r>
      <w:r w:rsidR="00B60A5F" w:rsidRPr="00CE78A3">
        <w:rPr>
          <w:rFonts w:ascii="Calibri" w:hAnsi="Calibri" w:cs="Calibri"/>
          <w:b/>
          <w:color w:val="auto"/>
          <w:sz w:val="22"/>
          <w:szCs w:val="22"/>
          <w:lang w:val="lv-LV"/>
        </w:rPr>
        <w:t>31</w:t>
      </w:r>
      <w:r w:rsidRPr="00CE78A3">
        <w:rPr>
          <w:rFonts w:ascii="Calibri" w:hAnsi="Calibri" w:cs="Calibri"/>
          <w:b/>
          <w:color w:val="auto"/>
          <w:sz w:val="22"/>
          <w:szCs w:val="22"/>
          <w:lang w:val="lv-LV"/>
        </w:rPr>
        <w:t xml:space="preserve"> dzelzceļa satiksmes drošības pārkāpumu. Izmeklēto pārkāpumu skaits</w:t>
      </w:r>
      <w:r w:rsidR="00B60A5F" w:rsidRPr="00CE78A3">
        <w:rPr>
          <w:rFonts w:ascii="Calibri" w:hAnsi="Calibri" w:cs="Calibri"/>
          <w:b/>
          <w:color w:val="auto"/>
          <w:sz w:val="22"/>
          <w:szCs w:val="22"/>
          <w:lang w:val="lv-LV"/>
        </w:rPr>
        <w:t xml:space="preserve">, salīdzinot ar 2018.gadu, </w:t>
      </w:r>
      <w:r w:rsidRPr="00CE78A3">
        <w:rPr>
          <w:rFonts w:ascii="Calibri" w:hAnsi="Calibri" w:cs="Calibri"/>
          <w:b/>
          <w:color w:val="auto"/>
          <w:sz w:val="22"/>
          <w:szCs w:val="22"/>
          <w:lang w:val="lv-LV"/>
        </w:rPr>
        <w:t xml:space="preserve">ir </w:t>
      </w:r>
      <w:r w:rsidR="00B60A5F" w:rsidRPr="00CE78A3">
        <w:rPr>
          <w:rFonts w:ascii="Calibri" w:hAnsi="Calibri" w:cs="Calibri"/>
          <w:b/>
          <w:color w:val="auto"/>
          <w:sz w:val="22"/>
          <w:szCs w:val="22"/>
          <w:lang w:val="lv-LV"/>
        </w:rPr>
        <w:t>samazinājies</w:t>
      </w:r>
      <w:r w:rsidRPr="006006BD">
        <w:rPr>
          <w:rFonts w:ascii="Calibri" w:hAnsi="Calibri" w:cs="Calibri"/>
          <w:color w:val="auto"/>
          <w:sz w:val="22"/>
          <w:szCs w:val="22"/>
          <w:lang w:val="lv-LV"/>
        </w:rPr>
        <w:t xml:space="preserve">. </w:t>
      </w:r>
      <w:r w:rsidR="00B60A5F" w:rsidRPr="006006BD">
        <w:rPr>
          <w:rFonts w:ascii="Calibri" w:hAnsi="Calibri" w:cs="Calibri"/>
          <w:color w:val="auto"/>
          <w:sz w:val="22"/>
          <w:szCs w:val="22"/>
          <w:lang w:val="lv-LV"/>
        </w:rPr>
        <w:t>Izmeklējot dzelzceļa satiksmes negadījumu</w:t>
      </w:r>
      <w:r w:rsidRPr="006006BD">
        <w:rPr>
          <w:rFonts w:ascii="Calibri" w:hAnsi="Calibri" w:cs="Calibri"/>
          <w:color w:val="auto"/>
          <w:sz w:val="22"/>
          <w:szCs w:val="22"/>
          <w:lang w:val="lv-LV"/>
        </w:rPr>
        <w:t xml:space="preserve"> ir nepieciešams identificēt iemeslus un apzināt riskus, lai nepieļautu līdzīgu gadījumu </w:t>
      </w:r>
      <w:r w:rsidR="008430E7">
        <w:rPr>
          <w:rFonts w:ascii="Calibri" w:hAnsi="Calibri" w:cs="Calibri"/>
          <w:color w:val="auto"/>
          <w:sz w:val="22"/>
          <w:szCs w:val="22"/>
          <w:lang w:val="lv-LV"/>
        </w:rPr>
        <w:t>atkārtošanos</w:t>
      </w:r>
      <w:r w:rsidRPr="006006BD">
        <w:rPr>
          <w:rFonts w:ascii="Calibri" w:hAnsi="Calibri" w:cs="Calibri"/>
          <w:color w:val="auto"/>
          <w:sz w:val="22"/>
          <w:szCs w:val="22"/>
          <w:lang w:val="lv-LV"/>
        </w:rPr>
        <w:t xml:space="preserve">. Iemesli negadījumiem var būt </w:t>
      </w:r>
      <w:r w:rsidR="008430E7">
        <w:rPr>
          <w:rFonts w:ascii="Calibri" w:hAnsi="Calibri" w:cs="Calibri"/>
          <w:color w:val="auto"/>
          <w:sz w:val="22"/>
          <w:szCs w:val="22"/>
          <w:lang w:val="lv-LV"/>
        </w:rPr>
        <w:t xml:space="preserve">tehniski </w:t>
      </w:r>
      <w:r w:rsidRPr="006006BD">
        <w:rPr>
          <w:rFonts w:ascii="Calibri" w:hAnsi="Calibri" w:cs="Calibri"/>
          <w:color w:val="auto"/>
          <w:sz w:val="22"/>
          <w:szCs w:val="22"/>
          <w:lang w:val="lv-LV"/>
        </w:rPr>
        <w:t xml:space="preserve">trūkumi, procedūru neievērošana, organizācijas kultūras problēmas, kā arī speciālistu nepareiza rīcība darba un ārkārtas apstākļos, zināšanu trūkums, nogurums vai neuzmanība. No šādiem gadījumiem nav iespējams pilnībā izvairīties, taču ir jāievieš tādi pasākumi, lai šādus gadījumus samazinātu līdz minimumam.  </w:t>
      </w:r>
    </w:p>
    <w:p w:rsidR="00224669" w:rsidRPr="006006BD" w:rsidRDefault="00224669" w:rsidP="00224669">
      <w:pPr>
        <w:spacing w:after="0" w:line="240" w:lineRule="auto"/>
        <w:ind w:firstLine="720"/>
        <w:jc w:val="both"/>
        <w:rPr>
          <w:rFonts w:ascii="Calibri" w:hAnsi="Calibri" w:cs="Calibri"/>
          <w:color w:val="auto"/>
          <w:sz w:val="22"/>
          <w:szCs w:val="22"/>
          <w:lang w:val="lv-LV"/>
        </w:rPr>
      </w:pPr>
      <w:r w:rsidRPr="006006BD">
        <w:rPr>
          <w:rFonts w:ascii="Calibri" w:hAnsi="Calibri" w:cs="Calibri"/>
          <w:color w:val="auto"/>
          <w:sz w:val="22"/>
          <w:szCs w:val="22"/>
          <w:lang w:val="lv-LV"/>
        </w:rPr>
        <w:t>Izmeklētie pārkāpumi 20</w:t>
      </w:r>
      <w:r w:rsidR="00B00660">
        <w:rPr>
          <w:rFonts w:ascii="Calibri" w:hAnsi="Calibri" w:cs="Calibri"/>
          <w:color w:val="auto"/>
          <w:sz w:val="22"/>
          <w:szCs w:val="22"/>
          <w:lang w:val="lv-LV"/>
        </w:rPr>
        <w:t>1</w:t>
      </w:r>
      <w:r w:rsidR="00B60A5F" w:rsidRPr="006006BD">
        <w:rPr>
          <w:rFonts w:ascii="Calibri" w:hAnsi="Calibri" w:cs="Calibri"/>
          <w:color w:val="auto"/>
          <w:sz w:val="22"/>
          <w:szCs w:val="22"/>
          <w:lang w:val="lv-LV"/>
        </w:rPr>
        <w:t>9</w:t>
      </w:r>
      <w:r w:rsidRPr="006006BD">
        <w:rPr>
          <w:rFonts w:ascii="Calibri" w:hAnsi="Calibri" w:cs="Calibri"/>
          <w:color w:val="auto"/>
          <w:sz w:val="22"/>
          <w:szCs w:val="22"/>
          <w:lang w:val="lv-LV"/>
        </w:rPr>
        <w:t xml:space="preserve">.gadā: </w:t>
      </w:r>
    </w:p>
    <w:p w:rsidR="00224669" w:rsidRPr="002A262B" w:rsidRDefault="00224669" w:rsidP="00B60A5F">
      <w:pPr>
        <w:pStyle w:val="ListParagraph"/>
        <w:numPr>
          <w:ilvl w:val="0"/>
          <w:numId w:val="6"/>
        </w:numPr>
        <w:tabs>
          <w:tab w:val="left" w:pos="1134"/>
          <w:tab w:val="left" w:pos="3119"/>
        </w:tabs>
        <w:ind w:left="0" w:firstLine="851"/>
        <w:jc w:val="both"/>
        <w:rPr>
          <w:rFonts w:ascii="Calibri" w:hAnsi="Calibri" w:cs="Calibri"/>
          <w:sz w:val="22"/>
          <w:szCs w:val="22"/>
        </w:rPr>
      </w:pPr>
      <w:r w:rsidRPr="002A262B">
        <w:rPr>
          <w:rFonts w:ascii="Calibri" w:hAnsi="Calibri" w:cs="Calibri"/>
          <w:sz w:val="22"/>
          <w:szCs w:val="22"/>
        </w:rPr>
        <w:t>vilciena  vai ritošā sastāva nobraukšana no sliedēm;</w:t>
      </w:r>
    </w:p>
    <w:p w:rsidR="00224669" w:rsidRPr="002A262B" w:rsidRDefault="00224669" w:rsidP="00B60A5F">
      <w:pPr>
        <w:pStyle w:val="ListParagraph"/>
        <w:numPr>
          <w:ilvl w:val="0"/>
          <w:numId w:val="5"/>
        </w:numPr>
        <w:tabs>
          <w:tab w:val="left" w:pos="1134"/>
        </w:tabs>
        <w:ind w:left="0" w:firstLine="851"/>
        <w:jc w:val="both"/>
        <w:rPr>
          <w:rFonts w:ascii="Calibri" w:hAnsi="Calibri" w:cs="Calibri"/>
          <w:sz w:val="22"/>
          <w:szCs w:val="22"/>
        </w:rPr>
      </w:pPr>
      <w:r w:rsidRPr="002A262B">
        <w:rPr>
          <w:rFonts w:ascii="Calibri" w:hAnsi="Calibri" w:cs="Calibri"/>
          <w:sz w:val="22"/>
          <w:szCs w:val="22"/>
        </w:rPr>
        <w:t>ritošā sastāva sadursme ar citu ritošo sastāvu vai sadursme ar dzelzceļa infrastruktūras objektu, iekraušanas vai izkraušanas iekārtu elementiem vai priekšmetu, kas apdraud dzelzceļa satiksmes drošību;</w:t>
      </w:r>
    </w:p>
    <w:p w:rsidR="00224669" w:rsidRPr="002A262B" w:rsidRDefault="00224669" w:rsidP="00B60A5F">
      <w:pPr>
        <w:pStyle w:val="ListParagraph"/>
        <w:numPr>
          <w:ilvl w:val="0"/>
          <w:numId w:val="5"/>
        </w:numPr>
        <w:tabs>
          <w:tab w:val="left" w:pos="1134"/>
        </w:tabs>
        <w:ind w:left="0" w:firstLine="851"/>
        <w:jc w:val="both"/>
        <w:rPr>
          <w:rFonts w:ascii="Calibri" w:hAnsi="Calibri" w:cs="Calibri"/>
          <w:sz w:val="22"/>
          <w:szCs w:val="22"/>
        </w:rPr>
      </w:pPr>
      <w:r w:rsidRPr="002A262B">
        <w:rPr>
          <w:rFonts w:ascii="Calibri" w:hAnsi="Calibri" w:cs="Calibri"/>
          <w:sz w:val="22"/>
          <w:szCs w:val="22"/>
        </w:rPr>
        <w:t>vilciena pieņemšana vai nosūtīšana pa nesagatavotu maršrutu, ieskaitot elektriskā ritošā sastāva nosūtīšanu vai pieņemšanu, ja maršruts vai tā daļa nav aprīkota ar kontakttīklu vai tajā nav sprieguma;</w:t>
      </w:r>
    </w:p>
    <w:p w:rsidR="00224669" w:rsidRPr="002A262B" w:rsidRDefault="00224669" w:rsidP="00B60A5F">
      <w:pPr>
        <w:pStyle w:val="ListParagraph"/>
        <w:numPr>
          <w:ilvl w:val="0"/>
          <w:numId w:val="5"/>
        </w:numPr>
        <w:tabs>
          <w:tab w:val="left" w:pos="1134"/>
        </w:tabs>
        <w:ind w:left="0" w:firstLine="851"/>
        <w:jc w:val="both"/>
        <w:rPr>
          <w:rFonts w:ascii="Calibri" w:hAnsi="Calibri" w:cs="Calibri"/>
          <w:sz w:val="22"/>
          <w:szCs w:val="22"/>
        </w:rPr>
      </w:pPr>
      <w:r w:rsidRPr="002A262B">
        <w:rPr>
          <w:rFonts w:ascii="Calibri" w:hAnsi="Calibri" w:cs="Calibri"/>
          <w:sz w:val="22"/>
          <w:szCs w:val="22"/>
        </w:rPr>
        <w:t>pabraukšana garām aizliedzošajam signālam;</w:t>
      </w:r>
    </w:p>
    <w:p w:rsidR="00224669" w:rsidRPr="002A262B" w:rsidRDefault="00224669" w:rsidP="00B60A5F">
      <w:pPr>
        <w:pStyle w:val="ListParagraph"/>
        <w:numPr>
          <w:ilvl w:val="0"/>
          <w:numId w:val="5"/>
        </w:numPr>
        <w:tabs>
          <w:tab w:val="left" w:pos="1134"/>
        </w:tabs>
        <w:ind w:left="0" w:firstLine="851"/>
        <w:jc w:val="both"/>
        <w:rPr>
          <w:rFonts w:ascii="Calibri" w:hAnsi="Calibri" w:cs="Calibri"/>
          <w:sz w:val="22"/>
          <w:szCs w:val="22"/>
        </w:rPr>
      </w:pPr>
      <w:r w:rsidRPr="002A262B">
        <w:rPr>
          <w:rFonts w:ascii="Calibri" w:hAnsi="Calibri" w:cs="Calibri"/>
          <w:sz w:val="22"/>
          <w:szCs w:val="22"/>
        </w:rPr>
        <w:t>dzelzceļa ritošā sastāva aizripošana aiz stāvēšanas ceļa kontrolstabiņa, luksofora vai izolētām salaidnēm.</w:t>
      </w:r>
    </w:p>
    <w:p w:rsidR="00224669" w:rsidRPr="00D41F65" w:rsidRDefault="00224669" w:rsidP="00454549">
      <w:pPr>
        <w:pStyle w:val="Heading1"/>
        <w:pBdr>
          <w:bottom w:val="single" w:sz="4" w:space="0" w:color="auto"/>
        </w:pBdr>
        <w:spacing w:before="240"/>
        <w:ind w:left="709"/>
        <w:rPr>
          <w:rFonts w:ascii="Calibri" w:hAnsi="Calibri" w:cs="Calibri"/>
          <w:b/>
          <w:color w:val="auto"/>
          <w:sz w:val="24"/>
          <w:szCs w:val="24"/>
          <w:lang w:val="lv-LV"/>
        </w:rPr>
      </w:pPr>
      <w:bookmarkStart w:id="31" w:name="_Toc43198276"/>
      <w:bookmarkStart w:id="32" w:name="_Toc51146312"/>
      <w:r w:rsidRPr="00D41F65">
        <w:rPr>
          <w:rFonts w:ascii="Calibri" w:hAnsi="Calibri" w:cs="Calibri"/>
          <w:b/>
          <w:color w:val="auto"/>
          <w:sz w:val="24"/>
          <w:szCs w:val="24"/>
          <w:lang w:val="lv-LV"/>
        </w:rPr>
        <w:t>Būvobjektu pieņemšana ekspluatācijā</w:t>
      </w:r>
      <w:bookmarkEnd w:id="31"/>
      <w:bookmarkEnd w:id="32"/>
    </w:p>
    <w:p w:rsidR="00224669" w:rsidRPr="006006BD" w:rsidRDefault="00224669" w:rsidP="00224669">
      <w:pPr>
        <w:spacing w:after="120" w:line="240" w:lineRule="auto"/>
        <w:ind w:left="6" w:right="6" w:firstLine="703"/>
        <w:jc w:val="both"/>
        <w:rPr>
          <w:rFonts w:ascii="Calibri" w:hAnsi="Calibri" w:cs="Calibri"/>
          <w:color w:val="auto"/>
          <w:sz w:val="22"/>
          <w:szCs w:val="22"/>
          <w:lang w:val="lv-LV"/>
        </w:rPr>
      </w:pPr>
      <w:r w:rsidRPr="00CE78A3">
        <w:rPr>
          <w:rFonts w:ascii="Calibri" w:hAnsi="Calibri" w:cs="Calibri"/>
          <w:b/>
          <w:color w:val="auto"/>
          <w:sz w:val="22"/>
          <w:szCs w:val="22"/>
          <w:lang w:val="lv-LV"/>
        </w:rPr>
        <w:t>VDzTI 201</w:t>
      </w:r>
      <w:r w:rsidR="009246D1" w:rsidRPr="00CE78A3">
        <w:rPr>
          <w:rFonts w:ascii="Calibri" w:hAnsi="Calibri" w:cs="Calibri"/>
          <w:b/>
          <w:color w:val="auto"/>
          <w:sz w:val="22"/>
          <w:szCs w:val="22"/>
          <w:lang w:val="lv-LV"/>
        </w:rPr>
        <w:t>9</w:t>
      </w:r>
      <w:r w:rsidRPr="00CE78A3">
        <w:rPr>
          <w:rFonts w:ascii="Calibri" w:hAnsi="Calibri" w:cs="Calibri"/>
          <w:b/>
          <w:color w:val="auto"/>
          <w:sz w:val="22"/>
          <w:szCs w:val="22"/>
          <w:lang w:val="lv-LV"/>
        </w:rPr>
        <w:t>.g</w:t>
      </w:r>
      <w:r w:rsidR="009246D1" w:rsidRPr="00CE78A3">
        <w:rPr>
          <w:rFonts w:ascii="Calibri" w:hAnsi="Calibri" w:cs="Calibri"/>
          <w:b/>
          <w:color w:val="auto"/>
          <w:sz w:val="22"/>
          <w:szCs w:val="22"/>
          <w:lang w:val="lv-LV"/>
        </w:rPr>
        <w:t>adā ekspluatācijā ir pieņēmusi 17</w:t>
      </w:r>
      <w:r w:rsidRPr="00CE78A3">
        <w:rPr>
          <w:rFonts w:ascii="Calibri" w:hAnsi="Calibri" w:cs="Calibri"/>
          <w:b/>
          <w:color w:val="auto"/>
          <w:sz w:val="22"/>
          <w:szCs w:val="22"/>
          <w:lang w:val="lv-LV"/>
        </w:rPr>
        <w:t xml:space="preserve"> būvobjektus</w:t>
      </w:r>
      <w:r w:rsidRPr="006006BD">
        <w:rPr>
          <w:rFonts w:ascii="Calibri" w:hAnsi="Calibri" w:cs="Calibri"/>
          <w:color w:val="auto"/>
          <w:sz w:val="22"/>
          <w:szCs w:val="22"/>
          <w:lang w:val="lv-LV"/>
        </w:rPr>
        <w:t>. Būvobjektu pieņemšana ekspluatācijā tiek veikta saskaņā ar Ministru kabineta 2014.gada 2.septembra noteikumiem Nr.530 ,,</w:t>
      </w:r>
      <w:hyperlink r:id="rId29" w:history="1">
        <w:r w:rsidRPr="006006BD">
          <w:rPr>
            <w:rStyle w:val="Hyperlink"/>
            <w:rFonts w:ascii="Calibri" w:hAnsi="Calibri" w:cs="Calibri"/>
            <w:color w:val="auto"/>
            <w:sz w:val="22"/>
            <w:szCs w:val="22"/>
            <w:lang w:val="lv-LV"/>
          </w:rPr>
          <w:t>Dzelzceļa būvnoteikumi</w:t>
        </w:r>
      </w:hyperlink>
      <w:r w:rsidRPr="006006BD">
        <w:rPr>
          <w:rFonts w:ascii="Calibri" w:hAnsi="Calibri" w:cs="Calibri"/>
          <w:color w:val="auto"/>
          <w:sz w:val="22"/>
          <w:szCs w:val="22"/>
          <w:lang w:val="lv-LV"/>
        </w:rPr>
        <w:t xml:space="preserve">”. </w:t>
      </w:r>
    </w:p>
    <w:p w:rsidR="00224669" w:rsidRPr="006006BD" w:rsidRDefault="00224669" w:rsidP="00224669">
      <w:pPr>
        <w:spacing w:after="120" w:line="240" w:lineRule="auto"/>
        <w:ind w:left="6" w:right="6" w:firstLine="703"/>
        <w:jc w:val="both"/>
        <w:rPr>
          <w:rFonts w:ascii="Calibri" w:hAnsi="Calibri" w:cs="Calibri"/>
          <w:color w:val="auto"/>
          <w:sz w:val="22"/>
          <w:szCs w:val="22"/>
          <w:lang w:val="lv-LV"/>
        </w:rPr>
      </w:pPr>
      <w:r w:rsidRPr="006006BD">
        <w:rPr>
          <w:rFonts w:ascii="Calibri" w:hAnsi="Calibri" w:cs="Calibri"/>
          <w:color w:val="auto"/>
          <w:sz w:val="22"/>
          <w:szCs w:val="22"/>
          <w:lang w:val="lv-LV"/>
        </w:rPr>
        <w:t>Nododot dzelzceļa infrastruktūras objektus ekspluatācijā tiek pārbaudīta objektu atbilstība dzelzceļa tehniskās ekspluatācijas un savstarpējās izmantojamības tehnisko specifikāciju prasīb</w:t>
      </w:r>
      <w:r w:rsidR="003635C9">
        <w:rPr>
          <w:rFonts w:ascii="Calibri" w:hAnsi="Calibri" w:cs="Calibri"/>
          <w:color w:val="auto"/>
          <w:sz w:val="22"/>
          <w:szCs w:val="22"/>
          <w:lang w:val="lv-LV"/>
        </w:rPr>
        <w:t>ām</w:t>
      </w:r>
      <w:r w:rsidRPr="006006BD">
        <w:rPr>
          <w:rFonts w:ascii="Calibri" w:hAnsi="Calibri" w:cs="Calibri"/>
          <w:color w:val="auto"/>
          <w:sz w:val="22"/>
          <w:szCs w:val="22"/>
          <w:lang w:val="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FF6BC6" w:rsidTr="006E08C3">
        <w:tc>
          <w:tcPr>
            <w:tcW w:w="576" w:type="dxa"/>
            <w:shd w:val="clear" w:color="auto" w:fill="D9D9D9" w:themeFill="background1" w:themeFillShade="D9"/>
          </w:tcPr>
          <w:p w:rsidR="00224669" w:rsidRPr="006006BD" w:rsidRDefault="009246D1" w:rsidP="009246D1">
            <w:pPr>
              <w:spacing w:after="0"/>
              <w:jc w:val="both"/>
              <w:rPr>
                <w:rFonts w:ascii="Calibri" w:hAnsi="Calibri" w:cs="Calibr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224669" w:rsidRPr="00B75841" w:rsidRDefault="00224669" w:rsidP="006E08C3">
            <w:pPr>
              <w:pStyle w:val="BodyText"/>
              <w:tabs>
                <w:tab w:val="left" w:pos="709"/>
              </w:tabs>
              <w:jc w:val="both"/>
              <w:rPr>
                <w:rFonts w:ascii="Calibri" w:hAnsi="Calibri" w:cs="Calibri"/>
                <w:b/>
                <w:iCs/>
                <w:sz w:val="22"/>
                <w:szCs w:val="22"/>
              </w:rPr>
            </w:pPr>
            <w:r w:rsidRPr="00B75841">
              <w:rPr>
                <w:rFonts w:ascii="Calibri" w:hAnsi="Calibri" w:cs="Calibri"/>
                <w:b/>
                <w:sz w:val="22"/>
                <w:szCs w:val="22"/>
              </w:rPr>
              <w:t xml:space="preserve">Visa informācija par ekspluatācijā pieņemtiem būvobjektiem ir atrodama VDzTI tīmekļa vietnē </w:t>
            </w:r>
            <w:hyperlink r:id="rId30" w:history="1">
              <w:r w:rsidRPr="00B75841">
                <w:rPr>
                  <w:rStyle w:val="Hyperlink"/>
                  <w:rFonts w:ascii="Calibri" w:hAnsi="Calibri" w:cs="Calibri"/>
                  <w:b/>
                  <w:color w:val="auto"/>
                  <w:sz w:val="22"/>
                  <w:szCs w:val="22"/>
                </w:rPr>
                <w:t>www.vdzti.gov.lv</w:t>
              </w:r>
            </w:hyperlink>
            <w:r w:rsidRPr="00B75841">
              <w:rPr>
                <w:rFonts w:ascii="Calibri" w:hAnsi="Calibri" w:cs="Calibri"/>
                <w:b/>
                <w:sz w:val="22"/>
                <w:szCs w:val="22"/>
              </w:rPr>
              <w:t xml:space="preserve"> , sadaļā Būvniecības ieceres.</w:t>
            </w:r>
          </w:p>
        </w:tc>
      </w:tr>
    </w:tbl>
    <w:p w:rsidR="00806C8F" w:rsidRDefault="00806C8F" w:rsidP="00224669">
      <w:pPr>
        <w:spacing w:before="120" w:after="120" w:line="240" w:lineRule="auto"/>
        <w:jc w:val="right"/>
        <w:rPr>
          <w:rFonts w:ascii="Calibri" w:hAnsi="Calibri" w:cs="Calibri"/>
          <w:b/>
          <w:color w:val="auto"/>
          <w:szCs w:val="22"/>
          <w:lang w:val="lv-LV"/>
        </w:rPr>
      </w:pPr>
    </w:p>
    <w:p w:rsidR="00806C8F" w:rsidRDefault="00806C8F" w:rsidP="00224669">
      <w:pPr>
        <w:spacing w:before="120" w:after="120" w:line="240" w:lineRule="auto"/>
        <w:jc w:val="right"/>
        <w:rPr>
          <w:rFonts w:ascii="Calibri" w:hAnsi="Calibri" w:cs="Calibri"/>
          <w:b/>
          <w:color w:val="auto"/>
          <w:szCs w:val="22"/>
          <w:lang w:val="lv-LV"/>
        </w:rPr>
      </w:pPr>
    </w:p>
    <w:p w:rsidR="00806C8F" w:rsidRDefault="00806C8F" w:rsidP="00224669">
      <w:pPr>
        <w:spacing w:before="120" w:after="120" w:line="240" w:lineRule="auto"/>
        <w:jc w:val="right"/>
        <w:rPr>
          <w:rFonts w:ascii="Calibri" w:hAnsi="Calibri" w:cs="Calibri"/>
          <w:b/>
          <w:color w:val="auto"/>
          <w:szCs w:val="22"/>
          <w:lang w:val="lv-LV"/>
        </w:rPr>
      </w:pPr>
    </w:p>
    <w:p w:rsidR="00806C8F" w:rsidRDefault="00806C8F" w:rsidP="00224669">
      <w:pPr>
        <w:spacing w:before="120" w:after="120" w:line="240" w:lineRule="auto"/>
        <w:jc w:val="right"/>
        <w:rPr>
          <w:rFonts w:ascii="Calibri" w:hAnsi="Calibri" w:cs="Calibri"/>
          <w:b/>
          <w:color w:val="auto"/>
          <w:szCs w:val="22"/>
          <w:lang w:val="lv-LV"/>
        </w:rPr>
      </w:pPr>
    </w:p>
    <w:p w:rsidR="00224669" w:rsidRPr="006006BD" w:rsidRDefault="00224669" w:rsidP="00224669">
      <w:pPr>
        <w:spacing w:before="120" w:after="120" w:line="240" w:lineRule="auto"/>
        <w:jc w:val="right"/>
        <w:rPr>
          <w:rFonts w:ascii="Calibri" w:hAnsi="Calibri" w:cs="Calibri"/>
          <w:color w:val="auto"/>
          <w:sz w:val="22"/>
          <w:szCs w:val="22"/>
          <w:lang w:val="lv-LV"/>
        </w:rPr>
      </w:pPr>
      <w:r w:rsidRPr="006006BD">
        <w:rPr>
          <w:rFonts w:ascii="Calibri" w:hAnsi="Calibri" w:cs="Calibri"/>
          <w:b/>
          <w:color w:val="auto"/>
          <w:szCs w:val="22"/>
          <w:lang w:val="lv-LV"/>
        </w:rPr>
        <w:lastRenderedPageBreak/>
        <w:t>10.tabula</w:t>
      </w:r>
      <w:r w:rsidR="003635C9">
        <w:rPr>
          <w:rFonts w:ascii="Calibri" w:hAnsi="Calibri" w:cs="Calibri"/>
          <w:b/>
          <w:color w:val="auto"/>
          <w:szCs w:val="22"/>
          <w:lang w:val="lv-LV"/>
        </w:rPr>
        <w:t>.</w:t>
      </w:r>
      <w:r w:rsidRPr="006006BD">
        <w:rPr>
          <w:rFonts w:ascii="Calibri" w:hAnsi="Calibri" w:cs="Calibri"/>
          <w:b/>
          <w:color w:val="auto"/>
          <w:szCs w:val="22"/>
          <w:lang w:val="lv-LV"/>
        </w:rPr>
        <w:t xml:space="preserve"> Pieņemti lēmumi par būvobjektu pieņemšanu ekspluatācijā(pa gadiem)</w:t>
      </w:r>
    </w:p>
    <w:tbl>
      <w:tblPr>
        <w:tblW w:w="9627"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tblLayout w:type="fixed"/>
        <w:tblLook w:val="01E0" w:firstRow="1" w:lastRow="1" w:firstColumn="1" w:lastColumn="1" w:noHBand="0" w:noVBand="0"/>
      </w:tblPr>
      <w:tblGrid>
        <w:gridCol w:w="5372"/>
        <w:gridCol w:w="851"/>
        <w:gridCol w:w="851"/>
        <w:gridCol w:w="851"/>
        <w:gridCol w:w="851"/>
        <w:gridCol w:w="851"/>
      </w:tblGrid>
      <w:tr w:rsidR="009246D1" w:rsidRPr="006006BD" w:rsidTr="00C523FD">
        <w:trPr>
          <w:cantSplit/>
          <w:jc w:val="center"/>
        </w:trPr>
        <w:tc>
          <w:tcPr>
            <w:tcW w:w="5372" w:type="dxa"/>
            <w:tcBorders>
              <w:top w:val="single" w:sz="12" w:space="0" w:color="FFFFFF"/>
              <w:bottom w:val="single" w:sz="4" w:space="0" w:color="auto"/>
            </w:tcBorders>
            <w:shd w:val="clear" w:color="auto" w:fill="auto"/>
            <w:vAlign w:val="center"/>
          </w:tcPr>
          <w:p w:rsidR="009246D1" w:rsidRPr="006006BD" w:rsidRDefault="009246D1" w:rsidP="009246D1">
            <w:pPr>
              <w:spacing w:after="0" w:line="240" w:lineRule="auto"/>
              <w:rPr>
                <w:rFonts w:ascii="Calibri" w:hAnsi="Calibri" w:cs="Calibri"/>
                <w:color w:val="auto"/>
                <w:sz w:val="22"/>
                <w:szCs w:val="22"/>
                <w:lang w:val="lv-LV"/>
              </w:rPr>
            </w:pPr>
          </w:p>
        </w:tc>
        <w:tc>
          <w:tcPr>
            <w:tcW w:w="851" w:type="dxa"/>
            <w:tcBorders>
              <w:top w:val="single" w:sz="12" w:space="0" w:color="FFFFFF"/>
              <w:bottom w:val="single" w:sz="4" w:space="0" w:color="auto"/>
            </w:tcBorders>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2015</w:t>
            </w:r>
          </w:p>
        </w:tc>
        <w:tc>
          <w:tcPr>
            <w:tcW w:w="851" w:type="dxa"/>
            <w:tcBorders>
              <w:top w:val="single" w:sz="12" w:space="0" w:color="FFFFFF"/>
              <w:bottom w:val="single" w:sz="4" w:space="0" w:color="auto"/>
            </w:tcBorders>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2016</w:t>
            </w:r>
          </w:p>
        </w:tc>
        <w:tc>
          <w:tcPr>
            <w:tcW w:w="851" w:type="dxa"/>
            <w:tcBorders>
              <w:top w:val="single" w:sz="12" w:space="0" w:color="FFFFFF"/>
              <w:bottom w:val="single" w:sz="4" w:space="0" w:color="auto"/>
            </w:tcBorders>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2017</w:t>
            </w:r>
          </w:p>
        </w:tc>
        <w:tc>
          <w:tcPr>
            <w:tcW w:w="851" w:type="dxa"/>
            <w:tcBorders>
              <w:top w:val="single" w:sz="12" w:space="0" w:color="FFFFFF"/>
              <w:bottom w:val="single" w:sz="4" w:space="0" w:color="auto"/>
            </w:tcBorders>
            <w:vAlign w:val="center"/>
          </w:tcPr>
          <w:p w:rsidR="009246D1" w:rsidRPr="006006BD" w:rsidRDefault="009246D1" w:rsidP="009246D1">
            <w:pPr>
              <w:spacing w:after="0" w:line="240" w:lineRule="auto"/>
              <w:rPr>
                <w:rFonts w:ascii="Calibri" w:hAnsi="Calibri" w:cs="Calibri"/>
                <w:b/>
                <w:color w:val="auto"/>
                <w:sz w:val="22"/>
                <w:szCs w:val="22"/>
                <w:lang w:val="lv-LV"/>
              </w:rPr>
            </w:pPr>
            <w:r w:rsidRPr="006006BD">
              <w:rPr>
                <w:rFonts w:ascii="Calibri" w:hAnsi="Calibri" w:cs="Calibri"/>
                <w:b/>
                <w:color w:val="auto"/>
                <w:sz w:val="22"/>
                <w:szCs w:val="22"/>
                <w:lang w:val="lv-LV"/>
              </w:rPr>
              <w:t>2018</w:t>
            </w:r>
          </w:p>
        </w:tc>
        <w:tc>
          <w:tcPr>
            <w:tcW w:w="851" w:type="dxa"/>
            <w:tcBorders>
              <w:top w:val="single" w:sz="12" w:space="0" w:color="FFFFFF"/>
              <w:bottom w:val="single" w:sz="4" w:space="0" w:color="auto"/>
            </w:tcBorders>
          </w:tcPr>
          <w:p w:rsidR="009246D1" w:rsidRPr="006006BD" w:rsidRDefault="009246D1" w:rsidP="009246D1">
            <w:pPr>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2019</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vAlign w:val="center"/>
          </w:tcPr>
          <w:p w:rsidR="009246D1" w:rsidRPr="006006BD" w:rsidRDefault="009246D1" w:rsidP="009246D1">
            <w:pPr>
              <w:spacing w:after="0" w:line="240" w:lineRule="auto"/>
              <w:rPr>
                <w:rFonts w:ascii="Calibri" w:hAnsi="Calibri" w:cs="Calibri"/>
                <w:b/>
                <w:color w:val="auto"/>
                <w:sz w:val="22"/>
                <w:szCs w:val="22"/>
                <w:lang w:val="lv-LV"/>
              </w:rPr>
            </w:pPr>
            <w:r w:rsidRPr="006006BD">
              <w:rPr>
                <w:rFonts w:ascii="Calibri" w:hAnsi="Calibri" w:cs="Calibri"/>
                <w:b/>
                <w:color w:val="auto"/>
                <w:sz w:val="22"/>
                <w:szCs w:val="22"/>
                <w:lang w:val="lv-LV"/>
              </w:rPr>
              <w:t>Pieņemti lēmumi par dzelzceļa būvobjektu pieņemšanu ekspluatācijā</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76</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51</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36</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23</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17</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atjaunošana</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14</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3</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jaunbūve</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17</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22</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7</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pārbūve</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45</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40</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7</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nojaukšana</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0</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rPr>
                <w:rFonts w:ascii="Calibri" w:hAnsi="Calibri" w:cs="Calibri"/>
                <w:b/>
                <w:color w:val="auto"/>
                <w:sz w:val="22"/>
                <w:szCs w:val="22"/>
                <w:lang w:val="lv-LV"/>
              </w:rPr>
            </w:pPr>
            <w:r w:rsidRPr="006006BD">
              <w:rPr>
                <w:rFonts w:ascii="Calibri" w:hAnsi="Calibri" w:cs="Calibri"/>
                <w:b/>
                <w:color w:val="auto"/>
                <w:sz w:val="22"/>
                <w:szCs w:val="22"/>
                <w:lang w:val="lv-LV"/>
              </w:rPr>
              <w:t>Būvobjektu veidi</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sliežu ceļi</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67</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11</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6</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kustības vadības automātiskās sistēmas</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4</w:t>
            </w:r>
          </w:p>
        </w:tc>
      </w:tr>
      <w:tr w:rsidR="009246D1" w:rsidRPr="006006BD" w:rsidTr="00C523FD">
        <w:trPr>
          <w:cantSplit/>
          <w:jc w:val="center"/>
        </w:trPr>
        <w:tc>
          <w:tcPr>
            <w:tcW w:w="5372" w:type="dxa"/>
            <w:tcBorders>
              <w:top w:val="single" w:sz="4" w:space="0" w:color="auto"/>
              <w:bottom w:val="single" w:sz="4" w:space="0" w:color="auto"/>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optiskie kabeļi</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851" w:type="dxa"/>
            <w:tcBorders>
              <w:top w:val="single" w:sz="4" w:space="0" w:color="auto"/>
              <w:bottom w:val="single" w:sz="4" w:space="0" w:color="auto"/>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10</w:t>
            </w:r>
          </w:p>
        </w:tc>
        <w:tc>
          <w:tcPr>
            <w:tcW w:w="851" w:type="dxa"/>
            <w:tcBorders>
              <w:top w:val="single" w:sz="4" w:space="0" w:color="auto"/>
              <w:bottom w:val="single" w:sz="4" w:space="0" w:color="auto"/>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851" w:type="dxa"/>
            <w:tcBorders>
              <w:top w:val="single" w:sz="4" w:space="0" w:color="auto"/>
              <w:bottom w:val="single" w:sz="4" w:space="0" w:color="auto"/>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2</w:t>
            </w:r>
          </w:p>
        </w:tc>
      </w:tr>
      <w:tr w:rsidR="009246D1" w:rsidRPr="006006BD" w:rsidTr="00C523FD">
        <w:trPr>
          <w:cantSplit/>
          <w:jc w:val="center"/>
        </w:trPr>
        <w:tc>
          <w:tcPr>
            <w:tcW w:w="5372" w:type="dxa"/>
            <w:tcBorders>
              <w:top w:val="single" w:sz="4" w:space="0" w:color="auto"/>
              <w:bottom w:val="single" w:sz="12" w:space="0" w:color="FFFFFF"/>
            </w:tcBorders>
            <w:shd w:val="clear" w:color="auto" w:fill="auto"/>
          </w:tcPr>
          <w:p w:rsidR="009246D1" w:rsidRPr="006006BD" w:rsidRDefault="009246D1" w:rsidP="009246D1">
            <w:pPr>
              <w:spacing w:after="0" w:line="240" w:lineRule="auto"/>
              <w:jc w:val="right"/>
              <w:rPr>
                <w:rFonts w:ascii="Calibri" w:hAnsi="Calibri" w:cs="Calibri"/>
                <w:color w:val="auto"/>
                <w:sz w:val="22"/>
                <w:szCs w:val="22"/>
                <w:lang w:val="lv-LV"/>
              </w:rPr>
            </w:pPr>
            <w:r w:rsidRPr="006006BD">
              <w:rPr>
                <w:rFonts w:ascii="Calibri" w:hAnsi="Calibri" w:cs="Calibri"/>
                <w:color w:val="auto"/>
                <w:sz w:val="22"/>
                <w:szCs w:val="22"/>
                <w:lang w:val="lv-LV"/>
              </w:rPr>
              <w:t>citi infrastruktūras objekti</w:t>
            </w:r>
          </w:p>
        </w:tc>
        <w:tc>
          <w:tcPr>
            <w:tcW w:w="851" w:type="dxa"/>
            <w:tcBorders>
              <w:top w:val="single" w:sz="4" w:space="0" w:color="auto"/>
              <w:bottom w:val="single" w:sz="12" w:space="0" w:color="FFFFFF"/>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9</w:t>
            </w:r>
          </w:p>
        </w:tc>
        <w:tc>
          <w:tcPr>
            <w:tcW w:w="851" w:type="dxa"/>
            <w:tcBorders>
              <w:top w:val="single" w:sz="4" w:space="0" w:color="auto"/>
              <w:bottom w:val="single" w:sz="12" w:space="0" w:color="FFFFFF"/>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40</w:t>
            </w:r>
          </w:p>
        </w:tc>
        <w:tc>
          <w:tcPr>
            <w:tcW w:w="851" w:type="dxa"/>
            <w:tcBorders>
              <w:top w:val="single" w:sz="4" w:space="0" w:color="auto"/>
              <w:bottom w:val="single" w:sz="12" w:space="0" w:color="FFFFFF"/>
            </w:tcBorders>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23</w:t>
            </w:r>
          </w:p>
        </w:tc>
        <w:tc>
          <w:tcPr>
            <w:tcW w:w="851" w:type="dxa"/>
            <w:tcBorders>
              <w:top w:val="single" w:sz="4" w:space="0" w:color="auto"/>
              <w:bottom w:val="single" w:sz="12" w:space="0" w:color="FFFFFF"/>
            </w:tcBorders>
            <w:vAlign w:val="center"/>
          </w:tcPr>
          <w:p w:rsidR="009246D1" w:rsidRPr="006006BD" w:rsidRDefault="009246D1" w:rsidP="009246D1">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11</w:t>
            </w:r>
          </w:p>
        </w:tc>
        <w:tc>
          <w:tcPr>
            <w:tcW w:w="851" w:type="dxa"/>
            <w:tcBorders>
              <w:top w:val="single" w:sz="4" w:space="0" w:color="auto"/>
              <w:bottom w:val="single" w:sz="12" w:space="0" w:color="FFFFFF"/>
            </w:tcBorders>
            <w:vAlign w:val="center"/>
          </w:tcPr>
          <w:p w:rsidR="009246D1" w:rsidRPr="006006BD" w:rsidRDefault="002B659B" w:rsidP="009246D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5</w:t>
            </w:r>
          </w:p>
        </w:tc>
      </w:tr>
    </w:tbl>
    <w:p w:rsidR="00224669" w:rsidRPr="00D41F65" w:rsidRDefault="00224669" w:rsidP="00224669">
      <w:pPr>
        <w:pStyle w:val="naisf"/>
        <w:spacing w:before="120" w:beforeAutospacing="0" w:after="240" w:afterAutospacing="0"/>
        <w:ind w:firstLine="709"/>
        <w:rPr>
          <w:rFonts w:ascii="Calibri" w:hAnsi="Calibri" w:cs="Calibri"/>
        </w:rPr>
      </w:pPr>
      <w:r w:rsidRPr="006006BD">
        <w:rPr>
          <w:rFonts w:ascii="Calibri" w:hAnsi="Calibri" w:cs="Calibri"/>
          <w:sz w:val="22"/>
          <w:szCs w:val="22"/>
        </w:rPr>
        <w:t xml:space="preserve"> Šobrīd būvniecībā </w:t>
      </w:r>
      <w:r w:rsidR="002B659B">
        <w:rPr>
          <w:rFonts w:ascii="Calibri" w:hAnsi="Calibri" w:cs="Calibri"/>
          <w:sz w:val="22"/>
          <w:szCs w:val="22"/>
        </w:rPr>
        <w:t>ir daudz uzsākti projekti, kuru pieņemšana eks</w:t>
      </w:r>
      <w:r w:rsidR="008430E7">
        <w:rPr>
          <w:rFonts w:ascii="Calibri" w:hAnsi="Calibri" w:cs="Calibri"/>
          <w:sz w:val="22"/>
          <w:szCs w:val="22"/>
        </w:rPr>
        <w:t>pluatācijā varētu būt 2022.-2023</w:t>
      </w:r>
      <w:r w:rsidR="002B659B">
        <w:rPr>
          <w:rFonts w:ascii="Calibri" w:hAnsi="Calibri" w:cs="Calibri"/>
          <w:sz w:val="22"/>
          <w:szCs w:val="22"/>
        </w:rPr>
        <w:t>.</w:t>
      </w:r>
      <w:r w:rsidR="002B659B" w:rsidRPr="00D41F65">
        <w:rPr>
          <w:rFonts w:ascii="Calibri" w:hAnsi="Calibri" w:cs="Calibri"/>
        </w:rPr>
        <w:t>gads</w:t>
      </w:r>
      <w:r w:rsidRPr="00D41F65">
        <w:rPr>
          <w:rFonts w:ascii="Calibri" w:hAnsi="Calibri" w:cs="Calibri"/>
        </w:rPr>
        <w:t xml:space="preserve">. </w:t>
      </w:r>
    </w:p>
    <w:p w:rsidR="00224669" w:rsidRPr="00D41F65" w:rsidRDefault="00224669" w:rsidP="00454549">
      <w:pPr>
        <w:pStyle w:val="Heading1"/>
        <w:pBdr>
          <w:bottom w:val="single" w:sz="4" w:space="0" w:color="auto"/>
        </w:pBdr>
        <w:spacing w:before="240"/>
        <w:ind w:left="709"/>
        <w:rPr>
          <w:rFonts w:ascii="Calibri" w:hAnsi="Calibri" w:cs="Calibri"/>
          <w:b/>
          <w:color w:val="auto"/>
          <w:sz w:val="24"/>
          <w:szCs w:val="24"/>
          <w:lang w:val="lv-LV"/>
        </w:rPr>
      </w:pPr>
      <w:bookmarkStart w:id="33" w:name="_Toc43198277"/>
      <w:bookmarkStart w:id="34" w:name="_Toc51146313"/>
      <w:r w:rsidRPr="00D41F65">
        <w:rPr>
          <w:rFonts w:ascii="Calibri" w:hAnsi="Calibri" w:cs="Calibri"/>
          <w:b/>
          <w:color w:val="auto"/>
          <w:sz w:val="24"/>
          <w:szCs w:val="24"/>
          <w:lang w:val="lv-LV"/>
        </w:rPr>
        <w:t>Ritošā sastāva pieņemšana ekspluatācijā</w:t>
      </w:r>
      <w:bookmarkEnd w:id="33"/>
      <w:bookmarkEnd w:id="34"/>
      <w:r w:rsidRPr="00D41F65">
        <w:rPr>
          <w:rFonts w:ascii="Calibri" w:hAnsi="Calibri" w:cs="Calibri"/>
          <w:b/>
          <w:color w:val="auto"/>
          <w:sz w:val="24"/>
          <w:szCs w:val="24"/>
          <w:lang w:val="lv-LV"/>
        </w:rPr>
        <w:t xml:space="preserve"> </w:t>
      </w:r>
    </w:p>
    <w:p w:rsidR="00224669" w:rsidRPr="006006BD" w:rsidRDefault="00224669" w:rsidP="00224669">
      <w:pPr>
        <w:spacing w:after="120" w:line="240" w:lineRule="auto"/>
        <w:ind w:firstLine="709"/>
        <w:jc w:val="both"/>
        <w:rPr>
          <w:rFonts w:ascii="Calibri" w:hAnsi="Calibri" w:cs="Calibri"/>
          <w:color w:val="auto"/>
          <w:sz w:val="22"/>
          <w:szCs w:val="22"/>
          <w:lang w:val="lv-LV"/>
        </w:rPr>
      </w:pPr>
      <w:r w:rsidRPr="006006BD">
        <w:rPr>
          <w:rFonts w:ascii="Calibri" w:hAnsi="Calibri" w:cs="Calibri"/>
          <w:color w:val="auto"/>
          <w:sz w:val="22"/>
          <w:szCs w:val="22"/>
          <w:lang w:val="lv-LV"/>
        </w:rPr>
        <w:t>2010.gada 28.decembra MK noteikumi Nr. 1211</w:t>
      </w:r>
      <w:r w:rsidRPr="006006BD">
        <w:rPr>
          <w:rFonts w:ascii="Calibri" w:hAnsi="Calibri" w:cs="Calibri"/>
          <w:b/>
          <w:color w:val="auto"/>
          <w:sz w:val="22"/>
          <w:szCs w:val="22"/>
          <w:lang w:val="lv-LV"/>
        </w:rPr>
        <w:t xml:space="preserve">” </w:t>
      </w:r>
      <w:hyperlink r:id="rId31" w:history="1">
        <w:r w:rsidRPr="006006BD">
          <w:rPr>
            <w:rStyle w:val="Hyperlink"/>
            <w:rFonts w:ascii="Calibri" w:hAnsi="Calibri" w:cs="Calibri"/>
            <w:color w:val="auto"/>
            <w:sz w:val="22"/>
            <w:szCs w:val="22"/>
            <w:lang w:val="lv-LV"/>
          </w:rPr>
          <w:t>Noteikumi par ritošā sastāva būvi, modernizāciju, atjaunošanas remontu, atbilstības novērtēšanu un pieņemšanu ekspluatācijā</w:t>
        </w:r>
      </w:hyperlink>
      <w:r w:rsidRPr="00D76E4F">
        <w:rPr>
          <w:rStyle w:val="Strong"/>
          <w:rFonts w:ascii="Calibri" w:hAnsi="Calibri" w:cs="Calibri"/>
          <w:b w:val="0"/>
          <w:color w:val="auto"/>
          <w:sz w:val="22"/>
          <w:szCs w:val="22"/>
          <w:lang w:val="lv-LV"/>
        </w:rPr>
        <w:t>” nosaka</w:t>
      </w:r>
      <w:r w:rsidRPr="006006BD">
        <w:rPr>
          <w:rStyle w:val="Strong"/>
          <w:rFonts w:ascii="Calibri" w:hAnsi="Calibri" w:cs="Calibri"/>
          <w:color w:val="auto"/>
          <w:sz w:val="22"/>
          <w:szCs w:val="22"/>
          <w:lang w:val="lv-LV"/>
        </w:rPr>
        <w:t xml:space="preserve"> </w:t>
      </w:r>
      <w:r w:rsidRPr="006006BD">
        <w:rPr>
          <w:rFonts w:ascii="Calibri" w:hAnsi="Calibri" w:cs="Calibri"/>
          <w:color w:val="auto"/>
          <w:sz w:val="22"/>
          <w:szCs w:val="22"/>
          <w:lang w:val="lv-LV"/>
        </w:rPr>
        <w:t>kārtību ritošā sastāva tipa un vienības pieņemšanai ekspluatācijā. Ritošo sastāvu pieņem ekspluatācijā pirms tā ekspluatācijas uzsākšanas Latvijā.</w:t>
      </w:r>
      <w:r w:rsidRPr="006006BD">
        <w:rPr>
          <w:rFonts w:ascii="Calibri" w:hAnsi="Calibri" w:cs="Calibri"/>
          <w:noProof/>
          <w:color w:val="auto"/>
          <w:sz w:val="22"/>
          <w:szCs w:val="22"/>
          <w:lang w:val="lv-LV" w:eastAsia="lv-LV"/>
        </w:rPr>
        <w:t xml:space="preserve"> </w:t>
      </w:r>
    </w:p>
    <w:p w:rsidR="00224669" w:rsidRPr="006006BD" w:rsidRDefault="00224669" w:rsidP="00224669">
      <w:pPr>
        <w:spacing w:after="120" w:line="240" w:lineRule="auto"/>
        <w:ind w:firstLine="697"/>
        <w:jc w:val="both"/>
        <w:rPr>
          <w:rFonts w:ascii="Calibri" w:hAnsi="Calibri" w:cs="Calibri"/>
          <w:color w:val="auto"/>
          <w:sz w:val="22"/>
          <w:szCs w:val="22"/>
          <w:lang w:val="lv-LV"/>
        </w:rPr>
      </w:pPr>
      <w:r w:rsidRPr="006006BD">
        <w:rPr>
          <w:rFonts w:ascii="Calibri" w:hAnsi="Calibri" w:cs="Calibri"/>
          <w:color w:val="auto"/>
          <w:sz w:val="22"/>
          <w:szCs w:val="22"/>
          <w:lang w:val="lv-LV"/>
        </w:rPr>
        <w:t>201</w:t>
      </w:r>
      <w:r w:rsidR="00D76E4F">
        <w:rPr>
          <w:rFonts w:ascii="Calibri" w:hAnsi="Calibri" w:cs="Calibri"/>
          <w:color w:val="auto"/>
          <w:sz w:val="22"/>
          <w:szCs w:val="22"/>
          <w:lang w:val="lv-LV"/>
        </w:rPr>
        <w:t>9</w:t>
      </w:r>
      <w:r w:rsidRPr="006006BD">
        <w:rPr>
          <w:rFonts w:ascii="Calibri" w:hAnsi="Calibri" w:cs="Calibri"/>
          <w:color w:val="auto"/>
          <w:sz w:val="22"/>
          <w:szCs w:val="22"/>
          <w:lang w:val="lv-LV"/>
        </w:rPr>
        <w:t xml:space="preserve">.gadā VDzTI pieņēma ekspluatācijā </w:t>
      </w:r>
      <w:r w:rsidR="008430E7">
        <w:rPr>
          <w:rFonts w:ascii="Calibri" w:hAnsi="Calibri" w:cs="Calibri"/>
          <w:color w:val="auto"/>
          <w:sz w:val="22"/>
          <w:szCs w:val="22"/>
          <w:lang w:val="lv-LV"/>
        </w:rPr>
        <w:t>7</w:t>
      </w:r>
      <w:r w:rsidRPr="006006BD">
        <w:rPr>
          <w:rFonts w:ascii="Calibri" w:hAnsi="Calibri" w:cs="Calibri"/>
          <w:color w:val="auto"/>
          <w:sz w:val="22"/>
          <w:szCs w:val="22"/>
          <w:lang w:val="lv-LV"/>
        </w:rPr>
        <w:t xml:space="preserve"> ritošā sastāva tipus un 7</w:t>
      </w:r>
      <w:r w:rsidR="008430E7">
        <w:rPr>
          <w:rFonts w:ascii="Calibri" w:hAnsi="Calibri" w:cs="Calibri"/>
          <w:color w:val="auto"/>
          <w:sz w:val="22"/>
          <w:szCs w:val="22"/>
          <w:lang w:val="lv-LV"/>
        </w:rPr>
        <w:t>2</w:t>
      </w:r>
      <w:r w:rsidRPr="006006BD">
        <w:rPr>
          <w:rFonts w:ascii="Calibri" w:hAnsi="Calibri" w:cs="Calibri"/>
          <w:color w:val="auto"/>
          <w:sz w:val="22"/>
          <w:szCs w:val="22"/>
          <w:lang w:val="lv-LV"/>
        </w:rPr>
        <w:t xml:space="preserve"> vienīb</w:t>
      </w:r>
      <w:r w:rsidR="008430E7">
        <w:rPr>
          <w:rFonts w:ascii="Calibri" w:hAnsi="Calibri" w:cs="Calibri"/>
          <w:color w:val="auto"/>
          <w:sz w:val="22"/>
          <w:szCs w:val="22"/>
          <w:lang w:val="lv-LV"/>
        </w:rPr>
        <w:t>as</w:t>
      </w:r>
      <w:r w:rsidRPr="006006BD">
        <w:rPr>
          <w:rFonts w:ascii="Calibri" w:hAnsi="Calibri" w:cs="Calibri"/>
          <w:color w:val="auto"/>
          <w:sz w:val="22"/>
          <w:szCs w:val="22"/>
          <w:lang w:val="lv-LV"/>
        </w:rPr>
        <w:t xml:space="preserve">. Samazinājums ir saistāms ar pārejas periodu </w:t>
      </w:r>
      <w:r w:rsidR="001C52F4">
        <w:rPr>
          <w:rFonts w:ascii="Calibri" w:hAnsi="Calibri" w:cs="Calibri"/>
          <w:color w:val="auto"/>
          <w:sz w:val="22"/>
          <w:szCs w:val="22"/>
          <w:lang w:val="lv-LV"/>
        </w:rPr>
        <w:t>uz jaunu ritekļu autorizācijas,</w:t>
      </w:r>
      <w:r w:rsidRPr="006006BD">
        <w:rPr>
          <w:rFonts w:ascii="Calibri" w:hAnsi="Calibri" w:cs="Calibri"/>
          <w:color w:val="auto"/>
          <w:sz w:val="22"/>
          <w:szCs w:val="22"/>
          <w:lang w:val="lv-LV"/>
        </w:rPr>
        <w:t xml:space="preserve"> kā arī ekonomisko ietekmi samazinoties kravu pārvadājumiem. </w:t>
      </w:r>
    </w:p>
    <w:p w:rsidR="00224669" w:rsidRPr="006006BD" w:rsidRDefault="00224669" w:rsidP="00224669">
      <w:pPr>
        <w:spacing w:before="120" w:after="120" w:line="240" w:lineRule="auto"/>
        <w:jc w:val="right"/>
        <w:rPr>
          <w:rFonts w:ascii="Calibri" w:hAnsi="Calibri" w:cs="Calibri"/>
          <w:color w:val="auto"/>
          <w:sz w:val="22"/>
          <w:szCs w:val="22"/>
          <w:lang w:val="lv-LV"/>
        </w:rPr>
      </w:pPr>
      <w:r w:rsidRPr="006006BD">
        <w:rPr>
          <w:rFonts w:ascii="Calibri" w:hAnsi="Calibri" w:cs="Calibri"/>
          <w:b/>
          <w:color w:val="auto"/>
          <w:szCs w:val="22"/>
          <w:lang w:val="lv-LV"/>
        </w:rPr>
        <w:t>11.tabula</w:t>
      </w:r>
      <w:r w:rsidR="001C52F4">
        <w:rPr>
          <w:rFonts w:ascii="Calibri" w:hAnsi="Calibri" w:cs="Calibri"/>
          <w:b/>
          <w:color w:val="auto"/>
          <w:szCs w:val="22"/>
          <w:lang w:val="lv-LV"/>
        </w:rPr>
        <w:t>.</w:t>
      </w:r>
      <w:r w:rsidRPr="006006BD">
        <w:rPr>
          <w:rFonts w:ascii="Calibri" w:hAnsi="Calibri" w:cs="Calibri"/>
          <w:b/>
          <w:color w:val="auto"/>
          <w:szCs w:val="22"/>
          <w:lang w:val="lv-LV"/>
        </w:rPr>
        <w:t xml:space="preserve"> Pieņemti lēmumi par ritekļu pieņemšanu ekspluatācijā (pa gadiem)</w:t>
      </w:r>
    </w:p>
    <w:tbl>
      <w:tblPr>
        <w:tblW w:w="10051"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6506"/>
        <w:gridCol w:w="709"/>
        <w:gridCol w:w="709"/>
        <w:gridCol w:w="709"/>
        <w:gridCol w:w="709"/>
        <w:gridCol w:w="709"/>
      </w:tblGrid>
      <w:tr w:rsidR="00D76E4F" w:rsidRPr="006006BD" w:rsidTr="00806C8F">
        <w:trPr>
          <w:cantSplit/>
          <w:jc w:val="center"/>
        </w:trPr>
        <w:tc>
          <w:tcPr>
            <w:tcW w:w="6506" w:type="dxa"/>
            <w:shd w:val="clear" w:color="auto" w:fill="auto"/>
            <w:vAlign w:val="center"/>
          </w:tcPr>
          <w:p w:rsidR="00D76E4F" w:rsidRPr="006006BD" w:rsidRDefault="00D76E4F" w:rsidP="00D76E4F">
            <w:pPr>
              <w:spacing w:after="0" w:line="240" w:lineRule="auto"/>
              <w:ind w:left="269" w:hanging="269"/>
              <w:rPr>
                <w:rFonts w:ascii="Calibri" w:hAnsi="Calibri" w:cs="Calibri"/>
                <w:b/>
                <w:color w:val="auto"/>
                <w:sz w:val="22"/>
                <w:szCs w:val="22"/>
                <w:lang w:val="lv-LV"/>
              </w:rPr>
            </w:pPr>
          </w:p>
        </w:tc>
        <w:tc>
          <w:tcPr>
            <w:tcW w:w="709" w:type="dxa"/>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2015</w:t>
            </w:r>
          </w:p>
        </w:tc>
        <w:tc>
          <w:tcPr>
            <w:tcW w:w="709" w:type="dxa"/>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2016</w:t>
            </w:r>
          </w:p>
        </w:tc>
        <w:tc>
          <w:tcPr>
            <w:tcW w:w="709" w:type="dxa"/>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2017</w:t>
            </w:r>
          </w:p>
        </w:tc>
        <w:tc>
          <w:tcPr>
            <w:tcW w:w="709" w:type="dxa"/>
            <w:vAlign w:val="center"/>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2018</w:t>
            </w:r>
          </w:p>
        </w:tc>
        <w:tc>
          <w:tcPr>
            <w:tcW w:w="709" w:type="dxa"/>
            <w:vAlign w:val="center"/>
          </w:tcPr>
          <w:p w:rsidR="00D76E4F" w:rsidRPr="006006BD" w:rsidRDefault="00487BB8" w:rsidP="00D76E4F">
            <w:pPr>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2019</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rPr>
                <w:rFonts w:ascii="Calibri" w:hAnsi="Calibri" w:cs="Calibri"/>
                <w:b/>
                <w:color w:val="auto"/>
                <w:sz w:val="22"/>
                <w:szCs w:val="22"/>
                <w:lang w:val="lv-LV"/>
              </w:rPr>
            </w:pPr>
            <w:r w:rsidRPr="006006BD">
              <w:rPr>
                <w:rFonts w:ascii="Calibri" w:hAnsi="Calibri" w:cs="Calibri"/>
                <w:b/>
                <w:color w:val="auto"/>
                <w:sz w:val="22"/>
                <w:szCs w:val="22"/>
                <w:lang w:val="lv-LV"/>
              </w:rPr>
              <w:t>Pieņemti ritošā sastāva tipi</w:t>
            </w:r>
          </w:p>
        </w:tc>
        <w:tc>
          <w:tcPr>
            <w:tcW w:w="709" w:type="dxa"/>
          </w:tcPr>
          <w:p w:rsidR="00D76E4F" w:rsidRPr="006006BD" w:rsidRDefault="00D76E4F" w:rsidP="00D76E4F">
            <w:pPr>
              <w:tabs>
                <w:tab w:val="left" w:pos="1116"/>
              </w:tabs>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6</w:t>
            </w:r>
          </w:p>
        </w:tc>
        <w:tc>
          <w:tcPr>
            <w:tcW w:w="709" w:type="dxa"/>
          </w:tcPr>
          <w:p w:rsidR="00D76E4F" w:rsidRPr="006006BD" w:rsidRDefault="00D76E4F" w:rsidP="00D76E4F">
            <w:pPr>
              <w:tabs>
                <w:tab w:val="left" w:pos="1116"/>
              </w:tabs>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8</w:t>
            </w:r>
          </w:p>
        </w:tc>
        <w:tc>
          <w:tcPr>
            <w:tcW w:w="709" w:type="dxa"/>
          </w:tcPr>
          <w:p w:rsidR="00D76E4F" w:rsidRPr="006006BD" w:rsidRDefault="00D76E4F" w:rsidP="00D76E4F">
            <w:pPr>
              <w:tabs>
                <w:tab w:val="left" w:pos="1116"/>
              </w:tabs>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7</w:t>
            </w:r>
          </w:p>
        </w:tc>
        <w:tc>
          <w:tcPr>
            <w:tcW w:w="709" w:type="dxa"/>
            <w:vAlign w:val="center"/>
          </w:tcPr>
          <w:p w:rsidR="00D76E4F" w:rsidRPr="006006BD" w:rsidRDefault="00D76E4F" w:rsidP="00D76E4F">
            <w:pPr>
              <w:spacing w:after="0" w:line="240" w:lineRule="auto"/>
              <w:ind w:left="10" w:hanging="10"/>
              <w:jc w:val="center"/>
              <w:rPr>
                <w:rFonts w:ascii="Calibri" w:hAnsi="Calibri" w:cs="Calibri"/>
                <w:b/>
                <w:color w:val="auto"/>
                <w:sz w:val="22"/>
                <w:szCs w:val="22"/>
                <w:lang w:val="lv-LV"/>
              </w:rPr>
            </w:pPr>
            <w:r w:rsidRPr="006006BD">
              <w:rPr>
                <w:rFonts w:ascii="Calibri" w:hAnsi="Calibri" w:cs="Calibri"/>
                <w:b/>
                <w:color w:val="auto"/>
                <w:sz w:val="22"/>
                <w:szCs w:val="22"/>
                <w:lang w:val="lv-LV"/>
              </w:rPr>
              <w:t>3</w:t>
            </w:r>
          </w:p>
        </w:tc>
        <w:tc>
          <w:tcPr>
            <w:tcW w:w="709" w:type="dxa"/>
            <w:vAlign w:val="center"/>
          </w:tcPr>
          <w:p w:rsidR="00D76E4F" w:rsidRPr="006006BD" w:rsidRDefault="00487BB8" w:rsidP="00D76E4F">
            <w:pPr>
              <w:tabs>
                <w:tab w:val="left" w:pos="1116"/>
              </w:tabs>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7</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vilces riteklis</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w:t>
            </w:r>
          </w:p>
        </w:tc>
        <w:tc>
          <w:tcPr>
            <w:tcW w:w="709" w:type="dxa"/>
            <w:vAlign w:val="center"/>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w:t>
            </w:r>
          </w:p>
        </w:tc>
        <w:tc>
          <w:tcPr>
            <w:tcW w:w="709" w:type="dxa"/>
            <w:vAlign w:val="center"/>
          </w:tcPr>
          <w:p w:rsidR="00D76E4F" w:rsidRPr="006006BD" w:rsidRDefault="00487BB8" w:rsidP="00D76E4F">
            <w:pPr>
              <w:tabs>
                <w:tab w:val="left" w:pos="1116"/>
              </w:tabs>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5</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kravas vagons</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709" w:type="dxa"/>
            <w:vAlign w:val="center"/>
          </w:tcPr>
          <w:p w:rsidR="00D76E4F" w:rsidRPr="006006BD" w:rsidRDefault="00487BB8" w:rsidP="00D76E4F">
            <w:pPr>
              <w:tabs>
                <w:tab w:val="left" w:pos="1116"/>
              </w:tabs>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0</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speciālais riteklis</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w:t>
            </w:r>
          </w:p>
        </w:tc>
        <w:tc>
          <w:tcPr>
            <w:tcW w:w="709" w:type="dxa"/>
            <w:vAlign w:val="center"/>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487BB8" w:rsidP="00D76E4F">
            <w:pPr>
              <w:tabs>
                <w:tab w:val="left" w:pos="1116"/>
              </w:tabs>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1</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pasažieru vagons</w:t>
            </w:r>
          </w:p>
        </w:tc>
        <w:tc>
          <w:tcPr>
            <w:tcW w:w="709" w:type="dxa"/>
            <w:vAlign w:val="center"/>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w:t>
            </w:r>
          </w:p>
        </w:tc>
        <w:tc>
          <w:tcPr>
            <w:tcW w:w="709" w:type="dxa"/>
            <w:vAlign w:val="center"/>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tcPr>
          <w:p w:rsidR="00D76E4F" w:rsidRPr="006006BD" w:rsidRDefault="00D76E4F" w:rsidP="00D76E4F">
            <w:pPr>
              <w:tabs>
                <w:tab w:val="left" w:pos="1116"/>
              </w:tabs>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487BB8" w:rsidP="00D76E4F">
            <w:pPr>
              <w:tabs>
                <w:tab w:val="left" w:pos="1116"/>
              </w:tabs>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1</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rPr>
                <w:rFonts w:ascii="Calibri" w:hAnsi="Calibri" w:cs="Calibri"/>
                <w:b/>
                <w:color w:val="auto"/>
                <w:sz w:val="22"/>
                <w:szCs w:val="22"/>
                <w:lang w:val="lv-LV"/>
              </w:rPr>
            </w:pPr>
            <w:r w:rsidRPr="006006BD">
              <w:rPr>
                <w:rFonts w:ascii="Calibri" w:hAnsi="Calibri" w:cs="Calibri"/>
                <w:b/>
                <w:color w:val="auto"/>
                <w:sz w:val="22"/>
                <w:szCs w:val="22"/>
                <w:lang w:val="lv-LV"/>
              </w:rPr>
              <w:t>Pieņemtas ekspluatācijā ritošā sastāva vienības</w:t>
            </w:r>
          </w:p>
        </w:tc>
        <w:tc>
          <w:tcPr>
            <w:tcW w:w="709" w:type="dxa"/>
            <w:vAlign w:val="center"/>
          </w:tcPr>
          <w:p w:rsidR="00D76E4F" w:rsidRPr="006006BD" w:rsidRDefault="00D76E4F" w:rsidP="00D76E4F">
            <w:pPr>
              <w:spacing w:after="0" w:line="240" w:lineRule="auto"/>
              <w:ind w:right="196"/>
              <w:jc w:val="center"/>
              <w:rPr>
                <w:rFonts w:ascii="Calibri" w:hAnsi="Calibri" w:cs="Calibri"/>
                <w:b/>
                <w:color w:val="auto"/>
                <w:sz w:val="22"/>
                <w:szCs w:val="22"/>
                <w:lang w:val="lv-LV"/>
              </w:rPr>
            </w:pPr>
            <w:r w:rsidRPr="006006BD">
              <w:rPr>
                <w:rFonts w:ascii="Calibri" w:hAnsi="Calibri" w:cs="Calibri"/>
                <w:b/>
                <w:color w:val="auto"/>
                <w:sz w:val="22"/>
                <w:szCs w:val="22"/>
                <w:lang w:val="lv-LV"/>
              </w:rPr>
              <w:t>146</w:t>
            </w:r>
          </w:p>
        </w:tc>
        <w:tc>
          <w:tcPr>
            <w:tcW w:w="709" w:type="dxa"/>
            <w:vAlign w:val="center"/>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82</w:t>
            </w:r>
          </w:p>
        </w:tc>
        <w:tc>
          <w:tcPr>
            <w:tcW w:w="709" w:type="dxa"/>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75</w:t>
            </w:r>
          </w:p>
        </w:tc>
        <w:tc>
          <w:tcPr>
            <w:tcW w:w="709" w:type="dxa"/>
            <w:vAlign w:val="center"/>
          </w:tcPr>
          <w:p w:rsidR="00D76E4F" w:rsidRPr="006006BD" w:rsidRDefault="00D76E4F" w:rsidP="00D76E4F">
            <w:pPr>
              <w:spacing w:after="0" w:line="240" w:lineRule="auto"/>
              <w:jc w:val="center"/>
              <w:rPr>
                <w:rFonts w:ascii="Calibri" w:hAnsi="Calibri" w:cs="Calibri"/>
                <w:b/>
                <w:color w:val="auto"/>
                <w:sz w:val="22"/>
                <w:szCs w:val="22"/>
                <w:lang w:val="lv-LV"/>
              </w:rPr>
            </w:pPr>
            <w:r w:rsidRPr="006006BD">
              <w:rPr>
                <w:rFonts w:ascii="Calibri" w:hAnsi="Calibri" w:cs="Calibri"/>
                <w:b/>
                <w:color w:val="auto"/>
                <w:sz w:val="22"/>
                <w:szCs w:val="22"/>
                <w:lang w:val="lv-LV"/>
              </w:rPr>
              <w:t>71</w:t>
            </w:r>
          </w:p>
        </w:tc>
        <w:tc>
          <w:tcPr>
            <w:tcW w:w="709" w:type="dxa"/>
            <w:vAlign w:val="center"/>
          </w:tcPr>
          <w:p w:rsidR="00D76E4F" w:rsidRPr="006006BD" w:rsidRDefault="00487BB8" w:rsidP="00487BB8">
            <w:pPr>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72</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kravas vagoni</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102</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53</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28</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45</w:t>
            </w:r>
          </w:p>
        </w:tc>
        <w:tc>
          <w:tcPr>
            <w:tcW w:w="709" w:type="dxa"/>
            <w:vAlign w:val="center"/>
          </w:tcPr>
          <w:p w:rsidR="00D76E4F" w:rsidRPr="006006BD" w:rsidRDefault="00487BB8" w:rsidP="00487BB8">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31</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speciālais ritošais sastāvs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14</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487BB8" w:rsidP="00487BB8">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2</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vilces ritošais sastāvs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20</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25</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42</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26</w:t>
            </w:r>
          </w:p>
        </w:tc>
        <w:tc>
          <w:tcPr>
            <w:tcW w:w="709" w:type="dxa"/>
            <w:vAlign w:val="center"/>
          </w:tcPr>
          <w:p w:rsidR="00D76E4F" w:rsidRPr="006006BD" w:rsidRDefault="00487BB8" w:rsidP="00487BB8">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39</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pasažieru vagons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8</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0</w:t>
            </w:r>
          </w:p>
        </w:tc>
        <w:tc>
          <w:tcPr>
            <w:tcW w:w="709" w:type="dxa"/>
            <w:vAlign w:val="center"/>
          </w:tcPr>
          <w:p w:rsidR="00D76E4F" w:rsidRPr="006006BD" w:rsidRDefault="00487BB8" w:rsidP="00487BB8">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0</w:t>
            </w:r>
          </w:p>
        </w:tc>
      </w:tr>
      <w:tr w:rsidR="00D76E4F" w:rsidRPr="006006BD" w:rsidTr="00806C8F">
        <w:trPr>
          <w:cantSplit/>
          <w:trHeight w:val="277"/>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pēc modernizācijas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15</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28</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14</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20</w:t>
            </w:r>
          </w:p>
        </w:tc>
        <w:tc>
          <w:tcPr>
            <w:tcW w:w="709" w:type="dxa"/>
            <w:vAlign w:val="center"/>
          </w:tcPr>
          <w:p w:rsidR="00D76E4F" w:rsidRPr="006006BD" w:rsidRDefault="00DD7DE7" w:rsidP="00DD7DE7">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4</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jaunbūvētas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14</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5</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22</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6</w:t>
            </w:r>
          </w:p>
        </w:tc>
        <w:tc>
          <w:tcPr>
            <w:tcW w:w="709" w:type="dxa"/>
            <w:vAlign w:val="center"/>
          </w:tcPr>
          <w:p w:rsidR="00D76E4F" w:rsidRPr="006006BD" w:rsidRDefault="00DD7DE7" w:rsidP="00DD7DE7">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4</w:t>
            </w:r>
          </w:p>
        </w:tc>
      </w:tr>
      <w:tr w:rsidR="00D76E4F" w:rsidRPr="006006BD" w:rsidTr="00806C8F">
        <w:trPr>
          <w:cantSplit/>
          <w:jc w:val="center"/>
        </w:trPr>
        <w:tc>
          <w:tcPr>
            <w:tcW w:w="6506" w:type="dxa"/>
            <w:shd w:val="clear" w:color="auto" w:fill="auto"/>
          </w:tcPr>
          <w:p w:rsidR="00D76E4F" w:rsidRPr="006006BD" w:rsidRDefault="00D76E4F" w:rsidP="00D76E4F">
            <w:pPr>
              <w:spacing w:after="0" w:line="240" w:lineRule="auto"/>
              <w:ind w:right="196"/>
              <w:jc w:val="right"/>
              <w:rPr>
                <w:rFonts w:ascii="Calibri" w:hAnsi="Calibri" w:cs="Calibri"/>
                <w:color w:val="auto"/>
                <w:sz w:val="22"/>
                <w:szCs w:val="22"/>
                <w:lang w:val="lv-LV"/>
              </w:rPr>
            </w:pPr>
            <w:r w:rsidRPr="006006BD">
              <w:rPr>
                <w:rFonts w:ascii="Calibri" w:hAnsi="Calibri" w:cs="Calibri"/>
                <w:color w:val="auto"/>
                <w:sz w:val="22"/>
                <w:szCs w:val="22"/>
                <w:lang w:val="lv-LV"/>
              </w:rPr>
              <w:t>lietotas, pirmo reizi tirgū piedāvātas</w:t>
            </w:r>
          </w:p>
        </w:tc>
        <w:tc>
          <w:tcPr>
            <w:tcW w:w="709" w:type="dxa"/>
          </w:tcPr>
          <w:p w:rsidR="00D76E4F" w:rsidRPr="006006BD" w:rsidRDefault="00D76E4F" w:rsidP="00D76E4F">
            <w:pPr>
              <w:spacing w:after="0" w:line="240" w:lineRule="auto"/>
              <w:ind w:right="196"/>
              <w:jc w:val="center"/>
              <w:rPr>
                <w:rFonts w:ascii="Calibri" w:hAnsi="Calibri" w:cs="Calibri"/>
                <w:color w:val="auto"/>
                <w:sz w:val="22"/>
                <w:szCs w:val="22"/>
                <w:lang w:val="lv-LV"/>
              </w:rPr>
            </w:pPr>
            <w:r w:rsidRPr="006006BD">
              <w:rPr>
                <w:rFonts w:ascii="Calibri" w:hAnsi="Calibri" w:cs="Calibri"/>
                <w:color w:val="auto"/>
                <w:sz w:val="22"/>
                <w:szCs w:val="22"/>
                <w:lang w:val="lv-LV"/>
              </w:rPr>
              <w:t>117</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49</w:t>
            </w:r>
          </w:p>
        </w:tc>
        <w:tc>
          <w:tcPr>
            <w:tcW w:w="709" w:type="dxa"/>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39</w:t>
            </w:r>
          </w:p>
        </w:tc>
        <w:tc>
          <w:tcPr>
            <w:tcW w:w="709" w:type="dxa"/>
            <w:vAlign w:val="center"/>
          </w:tcPr>
          <w:p w:rsidR="00D76E4F" w:rsidRPr="006006BD" w:rsidRDefault="00D76E4F" w:rsidP="00D76E4F">
            <w:pPr>
              <w:spacing w:after="0" w:line="240" w:lineRule="auto"/>
              <w:jc w:val="center"/>
              <w:rPr>
                <w:rFonts w:ascii="Calibri" w:hAnsi="Calibri" w:cs="Calibri"/>
                <w:color w:val="auto"/>
                <w:sz w:val="22"/>
                <w:szCs w:val="22"/>
                <w:lang w:val="lv-LV"/>
              </w:rPr>
            </w:pPr>
            <w:r w:rsidRPr="006006BD">
              <w:rPr>
                <w:rFonts w:ascii="Calibri" w:hAnsi="Calibri" w:cs="Calibri"/>
                <w:color w:val="auto"/>
                <w:sz w:val="22"/>
                <w:szCs w:val="22"/>
                <w:lang w:val="lv-LV"/>
              </w:rPr>
              <w:t>47</w:t>
            </w:r>
          </w:p>
        </w:tc>
        <w:tc>
          <w:tcPr>
            <w:tcW w:w="709" w:type="dxa"/>
            <w:vAlign w:val="center"/>
          </w:tcPr>
          <w:p w:rsidR="00D76E4F" w:rsidRPr="006006BD" w:rsidRDefault="00DD7DE7" w:rsidP="00DD7DE7">
            <w:pPr>
              <w:spacing w:after="0" w:line="240" w:lineRule="auto"/>
              <w:ind w:right="2"/>
              <w:jc w:val="center"/>
              <w:rPr>
                <w:rFonts w:ascii="Calibri" w:hAnsi="Calibri" w:cs="Calibri"/>
                <w:color w:val="auto"/>
                <w:sz w:val="22"/>
                <w:szCs w:val="22"/>
                <w:lang w:val="lv-LV"/>
              </w:rPr>
            </w:pPr>
            <w:r>
              <w:rPr>
                <w:rFonts w:ascii="Calibri" w:hAnsi="Calibri" w:cs="Calibri"/>
                <w:color w:val="auto"/>
                <w:sz w:val="22"/>
                <w:szCs w:val="22"/>
                <w:lang w:val="lv-LV"/>
              </w:rPr>
              <w:t>64</w:t>
            </w:r>
          </w:p>
        </w:tc>
      </w:tr>
    </w:tbl>
    <w:p w:rsidR="00224669" w:rsidRPr="006006BD" w:rsidRDefault="00224669" w:rsidP="00224669">
      <w:pPr>
        <w:spacing w:after="0" w:line="240" w:lineRule="auto"/>
        <w:ind w:firstLine="697"/>
        <w:jc w:val="both"/>
        <w:rPr>
          <w:rFonts w:ascii="Calibri" w:hAnsi="Calibri" w:cs="Calibri"/>
          <w:color w:val="auto"/>
          <w:sz w:val="22"/>
          <w:szCs w:val="22"/>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FF6BC6" w:rsidTr="006E08C3">
        <w:tc>
          <w:tcPr>
            <w:tcW w:w="576" w:type="dxa"/>
            <w:shd w:val="clear" w:color="auto" w:fill="D9D9D9" w:themeFill="background1" w:themeFillShade="D9"/>
          </w:tcPr>
          <w:p w:rsidR="00224669" w:rsidRPr="006006BD" w:rsidRDefault="00B55143" w:rsidP="006E08C3">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224669" w:rsidRPr="00B75841" w:rsidRDefault="00224669" w:rsidP="00B55143">
            <w:pPr>
              <w:spacing w:before="120" w:after="120" w:line="240" w:lineRule="auto"/>
              <w:jc w:val="both"/>
              <w:rPr>
                <w:rFonts w:ascii="Calibri" w:hAnsi="Calibri" w:cs="Calibri"/>
                <w:b/>
                <w:iCs/>
                <w:color w:val="auto"/>
                <w:sz w:val="22"/>
                <w:szCs w:val="22"/>
                <w:lang w:val="lv-LV"/>
              </w:rPr>
            </w:pPr>
            <w:r w:rsidRPr="00B75841">
              <w:rPr>
                <w:rFonts w:ascii="Calibri" w:hAnsi="Calibri" w:cs="Calibri"/>
                <w:b/>
                <w:color w:val="auto"/>
                <w:sz w:val="22"/>
                <w:szCs w:val="22"/>
                <w:lang w:val="lv-LV"/>
              </w:rPr>
              <w:t xml:space="preserve">Informācija par ekspluatācijā pieņemtajiem ritošā sastāva tipiem un vienībām ir ievietota VDzTI tīmekļa vietnē </w:t>
            </w:r>
            <w:hyperlink r:id="rId32" w:history="1">
              <w:r w:rsidRPr="00B75841">
                <w:rPr>
                  <w:rStyle w:val="Hyperlink"/>
                  <w:rFonts w:ascii="Calibri" w:hAnsi="Calibri" w:cs="Calibri"/>
                  <w:b/>
                  <w:color w:val="auto"/>
                  <w:sz w:val="22"/>
                  <w:szCs w:val="22"/>
                  <w:lang w:val="lv-LV"/>
                </w:rPr>
                <w:t>www.vdzti.gov.lv</w:t>
              </w:r>
            </w:hyperlink>
            <w:r w:rsidRPr="00B75841">
              <w:rPr>
                <w:rFonts w:ascii="Calibri" w:hAnsi="Calibri" w:cs="Calibri"/>
                <w:b/>
                <w:color w:val="auto"/>
                <w:sz w:val="22"/>
                <w:szCs w:val="22"/>
                <w:lang w:val="lv-LV"/>
              </w:rPr>
              <w:t xml:space="preserve">, sadaļā Darbības atļaujas/ Ritošā sastāva pieņemšana ekspluatācijā. </w:t>
            </w:r>
          </w:p>
        </w:tc>
      </w:tr>
    </w:tbl>
    <w:p w:rsidR="002E707C" w:rsidRPr="00D41F65" w:rsidRDefault="002E707C" w:rsidP="00454549">
      <w:pPr>
        <w:pStyle w:val="Heading1"/>
        <w:pBdr>
          <w:bottom w:val="single" w:sz="4" w:space="0" w:color="auto"/>
        </w:pBdr>
        <w:spacing w:before="240"/>
        <w:ind w:left="709"/>
        <w:rPr>
          <w:rFonts w:ascii="Calibri" w:hAnsi="Calibri" w:cs="Calibri"/>
          <w:b/>
          <w:color w:val="auto"/>
          <w:sz w:val="24"/>
          <w:szCs w:val="24"/>
          <w:lang w:val="lv-LV"/>
        </w:rPr>
      </w:pPr>
      <w:bookmarkStart w:id="35" w:name="_Toc51146314"/>
      <w:bookmarkStart w:id="36" w:name="OLE_LINK4"/>
      <w:r w:rsidRPr="00D41F65">
        <w:rPr>
          <w:rFonts w:ascii="Calibri" w:hAnsi="Calibri" w:cs="Calibri"/>
          <w:b/>
          <w:color w:val="auto"/>
          <w:sz w:val="24"/>
          <w:szCs w:val="24"/>
          <w:lang w:val="lv-LV"/>
        </w:rPr>
        <w:t>Drošības sertifikāts</w:t>
      </w:r>
      <w:bookmarkEnd w:id="35"/>
    </w:p>
    <w:p w:rsidR="002E707C" w:rsidRPr="00580E74" w:rsidRDefault="002E707C" w:rsidP="002E707C">
      <w:pPr>
        <w:spacing w:after="120" w:line="240" w:lineRule="auto"/>
        <w:ind w:firstLine="720"/>
        <w:jc w:val="both"/>
        <w:rPr>
          <w:rFonts w:ascii="Calibri" w:hAnsi="Calibri" w:cs="Calibri"/>
          <w:color w:val="auto"/>
          <w:sz w:val="22"/>
          <w:szCs w:val="22"/>
          <w:lang w:val="lv-LV"/>
        </w:rPr>
      </w:pPr>
      <w:r w:rsidRPr="00580E74">
        <w:rPr>
          <w:rFonts w:ascii="Calibri" w:hAnsi="Calibri" w:cs="Calibri"/>
          <w:color w:val="auto"/>
          <w:sz w:val="22"/>
          <w:szCs w:val="22"/>
          <w:lang w:val="lv-LV"/>
        </w:rPr>
        <w:t>2008.gada 10.marta Ministru kabineta noteikumi Nr.168 "</w:t>
      </w:r>
      <w:hyperlink r:id="rId33" w:history="1">
        <w:r w:rsidRPr="00580E74">
          <w:rPr>
            <w:rStyle w:val="Hyperlink"/>
            <w:rFonts w:ascii="Calibri" w:hAnsi="Calibri" w:cs="Calibri"/>
            <w:color w:val="auto"/>
            <w:sz w:val="22"/>
            <w:szCs w:val="22"/>
            <w:lang w:val="lv-LV"/>
          </w:rPr>
          <w:t>Noteikumi par drošības sertifikāta A daļas un B daļas izsniegšanas, apturēšanas un anulēšanas kārtību un kritērijiem</w:t>
        </w:r>
      </w:hyperlink>
      <w:r w:rsidRPr="00580E74">
        <w:rPr>
          <w:rFonts w:ascii="Calibri" w:hAnsi="Calibri" w:cs="Calibri"/>
          <w:color w:val="auto"/>
          <w:sz w:val="22"/>
          <w:szCs w:val="22"/>
          <w:lang w:val="lv-LV"/>
        </w:rPr>
        <w:t xml:space="preserve">” nosaka, ka dzelzceļa </w:t>
      </w:r>
      <w:r w:rsidRPr="00580E74">
        <w:rPr>
          <w:rFonts w:ascii="Calibri" w:hAnsi="Calibri" w:cs="Calibri"/>
          <w:color w:val="auto"/>
          <w:sz w:val="22"/>
          <w:szCs w:val="22"/>
          <w:lang w:val="lv-LV"/>
        </w:rPr>
        <w:lastRenderedPageBreak/>
        <w:t>pārvadātājiem ir jānodrošina un jāuztur drošības pārvaldības sistēma, kurā tiek iekļauts riska izvērtējums un tā kontroles nodrošināšana, kompetence un drošības pārvaldība. Drošības sertifikātu izsniedz pārvadātājiem, kas atbilst noteiktajām prasībām tehniskās ekspluatācijas jomā un izpilda drošības prasības attiecībā uz personālu, ritošo sastāvu un komercsabiedrības iekšējo struktūru.</w:t>
      </w:r>
      <w:r w:rsidRPr="00580E74">
        <w:rPr>
          <w:rFonts w:ascii="Calibri" w:hAnsi="Calibri" w:cs="Calibri"/>
          <w:noProof/>
          <w:color w:val="auto"/>
          <w:sz w:val="22"/>
          <w:szCs w:val="22"/>
          <w:lang w:val="lv-LV" w:eastAsia="lv-LV"/>
        </w:rPr>
        <w:t xml:space="preserve"> </w:t>
      </w:r>
    </w:p>
    <w:p w:rsidR="00F56177" w:rsidRDefault="002E707C" w:rsidP="00F56177">
      <w:pPr>
        <w:pStyle w:val="stylebodytext14ptjustifiedfirstline127cm0"/>
        <w:rPr>
          <w:rFonts w:ascii="Calibri" w:hAnsi="Calibri" w:cs="Calibri"/>
          <w:sz w:val="22"/>
          <w:szCs w:val="22"/>
        </w:rPr>
      </w:pPr>
      <w:r w:rsidRPr="00580E74">
        <w:rPr>
          <w:rFonts w:ascii="Calibri" w:hAnsi="Calibri" w:cs="Calibri"/>
          <w:sz w:val="22"/>
          <w:szCs w:val="22"/>
        </w:rPr>
        <w:t xml:space="preserve">Latvijā  </w:t>
      </w:r>
      <w:r w:rsidR="00C523FD">
        <w:rPr>
          <w:rFonts w:ascii="Calibri" w:hAnsi="Calibri" w:cs="Calibri"/>
          <w:sz w:val="22"/>
          <w:szCs w:val="22"/>
        </w:rPr>
        <w:t>2019.gadā</w:t>
      </w:r>
      <w:r w:rsidR="00F56177" w:rsidRPr="00F56177">
        <w:rPr>
          <w:rFonts w:ascii="Calibri" w:hAnsi="Calibri" w:cs="Calibri"/>
          <w:sz w:val="22"/>
          <w:szCs w:val="22"/>
        </w:rPr>
        <w:t xml:space="preserve"> </w:t>
      </w:r>
      <w:r w:rsidR="008430E7">
        <w:rPr>
          <w:rFonts w:ascii="Calibri" w:hAnsi="Calibri" w:cs="Calibri"/>
          <w:sz w:val="22"/>
          <w:szCs w:val="22"/>
        </w:rPr>
        <w:t>darbojā</w:t>
      </w:r>
      <w:r w:rsidR="00F56177" w:rsidRPr="00580E74">
        <w:rPr>
          <w:rFonts w:ascii="Calibri" w:hAnsi="Calibri" w:cs="Calibri"/>
          <w:sz w:val="22"/>
          <w:szCs w:val="22"/>
        </w:rPr>
        <w:t>s</w:t>
      </w:r>
      <w:r w:rsidR="00C523FD">
        <w:rPr>
          <w:rFonts w:ascii="Calibri" w:hAnsi="Calibri" w:cs="Calibri"/>
          <w:sz w:val="22"/>
          <w:szCs w:val="22"/>
        </w:rPr>
        <w:t xml:space="preserve"> reģistrēti septiņi k</w:t>
      </w:r>
      <w:r w:rsidRPr="00580E74">
        <w:rPr>
          <w:rFonts w:ascii="Calibri" w:hAnsi="Calibri" w:cs="Calibri"/>
          <w:sz w:val="22"/>
          <w:szCs w:val="22"/>
        </w:rPr>
        <w:t xml:space="preserve">omercuzņēmumi, kuriem, atbilstoši noteiktajiem drošības nosacījumiem, </w:t>
      </w:r>
      <w:r w:rsidR="00C523FD">
        <w:rPr>
          <w:rFonts w:ascii="Calibri" w:hAnsi="Calibri" w:cs="Calibri"/>
          <w:sz w:val="22"/>
          <w:szCs w:val="22"/>
        </w:rPr>
        <w:t xml:space="preserve">tika piešķirtas </w:t>
      </w:r>
      <w:r w:rsidRPr="00580E74">
        <w:rPr>
          <w:rFonts w:ascii="Calibri" w:hAnsi="Calibri" w:cs="Calibri"/>
          <w:sz w:val="22"/>
          <w:szCs w:val="22"/>
        </w:rPr>
        <w:t>tiesības veikt pārvadājumus (kravu, pasažieru) pa dzelzceļu, izmantojot publiskās lietošanas dzelzceļa infrastruktūru - SIA „LDZ Cargo”, a/s „Baltijas Ekspresis”, a/s „BALTIJAS TRANZĪTA SERVISS”, SIA „Gulbenes –Alūksnes bānītis” (šaursliežu dzelzceļš),  a/s „Pasažieru vilciens”, SIA „Euro Rail Cargo”</w:t>
      </w:r>
      <w:r w:rsidR="00C523FD">
        <w:rPr>
          <w:rFonts w:ascii="Calibri" w:hAnsi="Calibri" w:cs="Calibri"/>
          <w:sz w:val="22"/>
          <w:szCs w:val="22"/>
        </w:rPr>
        <w:t xml:space="preserve">, </w:t>
      </w:r>
      <w:r w:rsidRPr="00580E74">
        <w:rPr>
          <w:rFonts w:ascii="Calibri" w:hAnsi="Calibri" w:cs="Calibri"/>
          <w:sz w:val="22"/>
          <w:szCs w:val="22"/>
        </w:rPr>
        <w:t xml:space="preserve"> </w:t>
      </w:r>
      <w:r w:rsidR="00C523FD" w:rsidRPr="00C523FD">
        <w:rPr>
          <w:rFonts w:ascii="Calibri" w:hAnsi="Calibri" w:cs="Calibri"/>
          <w:sz w:val="22"/>
          <w:szCs w:val="22"/>
        </w:rPr>
        <w:t>SIA "LG CARGO"</w:t>
      </w:r>
      <w:r w:rsidR="00C523FD">
        <w:rPr>
          <w:rFonts w:ascii="Calibri" w:hAnsi="Calibri" w:cs="Calibri"/>
          <w:sz w:val="22"/>
          <w:szCs w:val="22"/>
        </w:rPr>
        <w:t xml:space="preserve">, </w:t>
      </w:r>
      <w:r w:rsidR="00C523FD" w:rsidRPr="00C523FD">
        <w:rPr>
          <w:rFonts w:ascii="Calibri" w:hAnsi="Calibri" w:cs="Calibri"/>
          <w:sz w:val="22"/>
          <w:szCs w:val="22"/>
        </w:rPr>
        <w:t>SIA "LG Keleiviams"</w:t>
      </w:r>
      <w:r w:rsidR="00C523FD">
        <w:rPr>
          <w:rFonts w:ascii="Calibri" w:hAnsi="Calibri" w:cs="Calibri"/>
          <w:sz w:val="22"/>
          <w:szCs w:val="22"/>
        </w:rPr>
        <w:t>.</w:t>
      </w:r>
    </w:p>
    <w:p w:rsidR="002E707C" w:rsidRPr="00580E74" w:rsidRDefault="002E707C" w:rsidP="00F56177">
      <w:pPr>
        <w:pStyle w:val="stylebodytext14ptjustifiedfirstline127cm0"/>
        <w:rPr>
          <w:rFonts w:ascii="Calibri" w:hAnsi="Calibri" w:cs="Calibri"/>
          <w:sz w:val="22"/>
          <w:szCs w:val="22"/>
        </w:rPr>
      </w:pPr>
      <w:r w:rsidRPr="00580E74">
        <w:rPr>
          <w:rFonts w:ascii="Calibri" w:hAnsi="Calibri" w:cs="Calibri"/>
          <w:sz w:val="22"/>
          <w:szCs w:val="22"/>
        </w:rPr>
        <w:t>VDzTI 201</w:t>
      </w:r>
      <w:r w:rsidR="00C523FD">
        <w:rPr>
          <w:rFonts w:ascii="Calibri" w:hAnsi="Calibri" w:cs="Calibri"/>
          <w:sz w:val="22"/>
          <w:szCs w:val="22"/>
        </w:rPr>
        <w:t>9</w:t>
      </w:r>
      <w:r w:rsidRPr="00580E74">
        <w:rPr>
          <w:rFonts w:ascii="Calibri" w:hAnsi="Calibri" w:cs="Calibri"/>
          <w:sz w:val="22"/>
          <w:szCs w:val="22"/>
        </w:rPr>
        <w:t xml:space="preserve">.gadā izsniedza </w:t>
      </w:r>
      <w:r w:rsidR="00C523FD">
        <w:rPr>
          <w:rFonts w:ascii="Calibri" w:hAnsi="Calibri" w:cs="Calibri"/>
          <w:sz w:val="22"/>
          <w:szCs w:val="22"/>
        </w:rPr>
        <w:t>4</w:t>
      </w:r>
      <w:r w:rsidRPr="00580E74">
        <w:rPr>
          <w:rFonts w:ascii="Calibri" w:hAnsi="Calibri" w:cs="Calibri"/>
          <w:sz w:val="22"/>
          <w:szCs w:val="22"/>
        </w:rPr>
        <w:t xml:space="preserve"> drošības sertifikātu B daļas. No 2004.gada VDzTI ir izsniegusi 8</w:t>
      </w:r>
      <w:r w:rsidR="00C523FD">
        <w:rPr>
          <w:rFonts w:ascii="Calibri" w:hAnsi="Calibri" w:cs="Calibri"/>
          <w:sz w:val="22"/>
          <w:szCs w:val="22"/>
        </w:rPr>
        <w:t>7</w:t>
      </w:r>
      <w:r w:rsidRPr="00580E74">
        <w:rPr>
          <w:rFonts w:ascii="Calibri" w:hAnsi="Calibri" w:cs="Calibri"/>
          <w:sz w:val="22"/>
          <w:szCs w:val="22"/>
        </w:rPr>
        <w:t xml:space="preserve"> sertifikātus. Vidējais rādītājs ir 5,</w:t>
      </w:r>
      <w:r w:rsidR="00C523FD">
        <w:rPr>
          <w:rFonts w:ascii="Calibri" w:hAnsi="Calibri" w:cs="Calibri"/>
          <w:sz w:val="22"/>
          <w:szCs w:val="22"/>
        </w:rPr>
        <w:t>36</w:t>
      </w:r>
      <w:r w:rsidRPr="00580E74">
        <w:rPr>
          <w:rFonts w:ascii="Calibri" w:hAnsi="Calibri" w:cs="Calibri"/>
          <w:sz w:val="22"/>
          <w:szCs w:val="22"/>
        </w:rPr>
        <w:t xml:space="preserve"> sertifikāti gadā. Visvairāk drošības sertifikātu tika izsniegts 2017.gadā. </w:t>
      </w:r>
    </w:p>
    <w:p w:rsidR="002E707C" w:rsidRPr="00580E74" w:rsidRDefault="00C523FD" w:rsidP="002E707C">
      <w:pPr>
        <w:spacing w:before="120" w:after="120" w:line="240" w:lineRule="auto"/>
        <w:jc w:val="right"/>
        <w:rPr>
          <w:rFonts w:ascii="Calibri" w:hAnsi="Calibri" w:cs="Calibri"/>
          <w:color w:val="auto"/>
          <w:sz w:val="22"/>
          <w:szCs w:val="22"/>
          <w:lang w:val="lv-LV"/>
        </w:rPr>
      </w:pPr>
      <w:r>
        <w:rPr>
          <w:rFonts w:ascii="Calibri" w:hAnsi="Calibri" w:cs="Calibri"/>
          <w:b/>
          <w:color w:val="auto"/>
          <w:szCs w:val="22"/>
          <w:lang w:val="lv-LV"/>
        </w:rPr>
        <w:t>12</w:t>
      </w:r>
      <w:r w:rsidR="002E707C" w:rsidRPr="00580E74">
        <w:rPr>
          <w:rFonts w:ascii="Calibri" w:hAnsi="Calibri" w:cs="Calibri"/>
          <w:b/>
          <w:color w:val="auto"/>
          <w:szCs w:val="22"/>
          <w:lang w:val="lv-LV"/>
        </w:rPr>
        <w:t>.tabula</w:t>
      </w:r>
      <w:r w:rsidR="001C52F4">
        <w:rPr>
          <w:rFonts w:ascii="Calibri" w:hAnsi="Calibri" w:cs="Calibri"/>
          <w:b/>
          <w:color w:val="auto"/>
          <w:szCs w:val="22"/>
          <w:lang w:val="lv-LV"/>
        </w:rPr>
        <w:t>.</w:t>
      </w:r>
      <w:r w:rsidR="002E707C" w:rsidRPr="00580E74">
        <w:rPr>
          <w:rFonts w:ascii="Calibri" w:hAnsi="Calibri" w:cs="Calibri"/>
          <w:b/>
          <w:color w:val="auto"/>
          <w:szCs w:val="22"/>
          <w:lang w:val="lv-LV"/>
        </w:rPr>
        <w:t xml:space="preserve"> Izsniegtie drošības sertifikāti (pa gadiem)</w:t>
      </w:r>
    </w:p>
    <w:tbl>
      <w:tblPr>
        <w:tblW w:w="9655" w:type="dxa"/>
        <w:tblBorders>
          <w:insideH w:val="single" w:sz="4" w:space="0" w:color="auto"/>
          <w:insideV w:val="single" w:sz="4" w:space="0" w:color="auto"/>
        </w:tblBorders>
        <w:tblLook w:val="01E0" w:firstRow="1" w:lastRow="1" w:firstColumn="1" w:lastColumn="1" w:noHBand="0" w:noVBand="0"/>
      </w:tblPr>
      <w:tblGrid>
        <w:gridCol w:w="5245"/>
        <w:gridCol w:w="882"/>
        <w:gridCol w:w="882"/>
        <w:gridCol w:w="882"/>
        <w:gridCol w:w="882"/>
        <w:gridCol w:w="882"/>
      </w:tblGrid>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rPr>
                <w:rFonts w:ascii="Calibri" w:hAnsi="Calibri" w:cs="Calibri"/>
                <w:b/>
                <w:sz w:val="22"/>
                <w:szCs w:val="22"/>
              </w:rPr>
            </w:pPr>
            <w:r w:rsidRPr="00580E74">
              <w:rPr>
                <w:rFonts w:ascii="Calibri" w:hAnsi="Calibri" w:cs="Calibri"/>
                <w:b/>
                <w:sz w:val="22"/>
                <w:szCs w:val="22"/>
              </w:rPr>
              <w:t> </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2015</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2016</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2017</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2018</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Pr>
                <w:rFonts w:ascii="Calibri" w:hAnsi="Calibri" w:cs="Calibri"/>
                <w:b/>
                <w:sz w:val="22"/>
                <w:szCs w:val="22"/>
              </w:rPr>
              <w:t>2019</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left"/>
              <w:rPr>
                <w:rFonts w:ascii="Calibri" w:hAnsi="Calibri" w:cs="Calibri"/>
                <w:b/>
                <w:sz w:val="22"/>
                <w:szCs w:val="22"/>
              </w:rPr>
            </w:pPr>
            <w:r w:rsidRPr="00580E74">
              <w:rPr>
                <w:rFonts w:ascii="Calibri" w:hAnsi="Calibri" w:cs="Calibri"/>
                <w:b/>
                <w:sz w:val="22"/>
                <w:szCs w:val="22"/>
              </w:rPr>
              <w:t>Izsniegts drošības sertifikāta A daļa</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4</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Pr>
                <w:rFonts w:ascii="Calibri" w:hAnsi="Calibri" w:cs="Calibri"/>
                <w:b/>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jauns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atjaunots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4</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precizēts/grozīts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pasažieru un kravu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pasažieru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kravu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left"/>
              <w:rPr>
                <w:rFonts w:ascii="Calibri" w:hAnsi="Calibri" w:cs="Calibri"/>
                <w:b/>
                <w:sz w:val="22"/>
                <w:szCs w:val="22"/>
              </w:rPr>
            </w:pPr>
            <w:r w:rsidRPr="00580E74">
              <w:rPr>
                <w:rFonts w:ascii="Calibri" w:hAnsi="Calibri" w:cs="Calibri"/>
                <w:b/>
                <w:sz w:val="22"/>
                <w:szCs w:val="22"/>
              </w:rPr>
              <w:t>Izsniegts drošības sertifikāta B daļa</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3</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8</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sidRPr="00580E74">
              <w:rPr>
                <w:rFonts w:ascii="Calibri" w:hAnsi="Calibri" w:cs="Calibri"/>
                <w:b/>
                <w:sz w:val="22"/>
                <w:szCs w:val="22"/>
              </w:rPr>
              <w:t>3</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b/>
                <w:sz w:val="22"/>
                <w:szCs w:val="22"/>
              </w:rPr>
            </w:pPr>
            <w:r>
              <w:rPr>
                <w:rFonts w:ascii="Calibri" w:hAnsi="Calibri" w:cs="Calibri"/>
                <w:b/>
                <w:sz w:val="22"/>
                <w:szCs w:val="22"/>
              </w:rPr>
              <w:t>4</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jauns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2</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atjaunots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6</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3</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precizēts/grozīts drošības sertifikāts</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2</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pasažieru un kravu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0</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pasažieru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1</w:t>
            </w:r>
          </w:p>
        </w:tc>
      </w:tr>
      <w:tr w:rsidR="00353DF1" w:rsidRPr="00580E74" w:rsidTr="00353DF1">
        <w:tc>
          <w:tcPr>
            <w:tcW w:w="5245" w:type="dxa"/>
            <w:shd w:val="clear" w:color="auto" w:fill="auto"/>
          </w:tcPr>
          <w:p w:rsidR="00353DF1" w:rsidRPr="00580E74" w:rsidRDefault="00353DF1" w:rsidP="00353DF1">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kravu pārvadājumiem</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0</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1</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7</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sidRPr="00580E74">
              <w:rPr>
                <w:rFonts w:ascii="Calibri" w:hAnsi="Calibri" w:cs="Calibri"/>
                <w:sz w:val="22"/>
                <w:szCs w:val="22"/>
              </w:rPr>
              <w:t>2</w:t>
            </w:r>
          </w:p>
        </w:tc>
        <w:tc>
          <w:tcPr>
            <w:tcW w:w="882" w:type="dxa"/>
          </w:tcPr>
          <w:p w:rsidR="00353DF1" w:rsidRPr="00580E74" w:rsidRDefault="00353DF1" w:rsidP="00353DF1">
            <w:pPr>
              <w:pStyle w:val="StyleBodyText14ptJustifiedFirstline127cm"/>
              <w:spacing w:after="0"/>
              <w:ind w:firstLine="0"/>
              <w:jc w:val="center"/>
              <w:rPr>
                <w:rFonts w:ascii="Calibri" w:hAnsi="Calibri" w:cs="Calibri"/>
                <w:sz w:val="22"/>
                <w:szCs w:val="22"/>
              </w:rPr>
            </w:pPr>
            <w:r>
              <w:rPr>
                <w:rFonts w:ascii="Calibri" w:hAnsi="Calibri" w:cs="Calibri"/>
                <w:sz w:val="22"/>
                <w:szCs w:val="22"/>
              </w:rPr>
              <w:t>3</w:t>
            </w:r>
          </w:p>
        </w:tc>
      </w:tr>
    </w:tbl>
    <w:bookmarkEnd w:id="36"/>
    <w:p w:rsidR="002E707C" w:rsidRPr="00580E74" w:rsidRDefault="00353DF1" w:rsidP="002E707C">
      <w:pPr>
        <w:spacing w:before="120" w:after="120" w:line="240" w:lineRule="auto"/>
        <w:ind w:firstLine="720"/>
        <w:jc w:val="both"/>
        <w:rPr>
          <w:rFonts w:ascii="Calibri" w:hAnsi="Calibri" w:cs="Calibri"/>
          <w:i/>
          <w:color w:val="auto"/>
          <w:sz w:val="22"/>
          <w:szCs w:val="22"/>
          <w:lang w:val="lv-LV"/>
        </w:rPr>
      </w:pPr>
      <w:r>
        <w:rPr>
          <w:rStyle w:val="Emphasis"/>
          <w:rFonts w:ascii="Calibri" w:hAnsi="Calibri" w:cs="Calibri"/>
          <w:bCs/>
          <w:i w:val="0"/>
          <w:sz w:val="22"/>
          <w:szCs w:val="22"/>
          <w:lang w:val="lv-LV" w:eastAsia="en-US"/>
        </w:rPr>
        <w:t>2019</w:t>
      </w:r>
      <w:r w:rsidR="002E707C" w:rsidRPr="00353DF1">
        <w:rPr>
          <w:rStyle w:val="Emphasis"/>
          <w:rFonts w:ascii="Calibri" w:hAnsi="Calibri" w:cs="Calibri"/>
          <w:bCs/>
          <w:i w:val="0"/>
          <w:sz w:val="22"/>
          <w:szCs w:val="22"/>
          <w:lang w:val="lv-LV" w:eastAsia="en-US"/>
        </w:rPr>
        <w:t xml:space="preserve">.gadā VDzTI saņēma </w:t>
      </w:r>
      <w:r>
        <w:rPr>
          <w:rStyle w:val="Emphasis"/>
          <w:rFonts w:ascii="Calibri" w:hAnsi="Calibri" w:cs="Calibri"/>
          <w:bCs/>
          <w:i w:val="0"/>
          <w:sz w:val="22"/>
          <w:szCs w:val="22"/>
          <w:lang w:val="lv-LV" w:eastAsia="en-US"/>
        </w:rPr>
        <w:t>5</w:t>
      </w:r>
      <w:r w:rsidR="002E707C" w:rsidRPr="00353DF1">
        <w:rPr>
          <w:rStyle w:val="Emphasis"/>
          <w:rFonts w:ascii="Calibri" w:hAnsi="Calibri" w:cs="Calibri"/>
          <w:bCs/>
          <w:i w:val="0"/>
          <w:sz w:val="22"/>
          <w:szCs w:val="22"/>
          <w:lang w:val="lv-LV" w:eastAsia="en-US"/>
        </w:rPr>
        <w:t xml:space="preserve"> iesniegumus drošības sertifikātu saņemšanai, par ko tika pieņemti lēmumi.</w:t>
      </w:r>
      <w:r w:rsidR="002E707C" w:rsidRPr="00580E74">
        <w:rPr>
          <w:rStyle w:val="Emphasis"/>
          <w:rFonts w:ascii="Calibri" w:hAnsi="Calibri" w:cs="Calibri"/>
          <w:bCs/>
          <w:sz w:val="22"/>
          <w:szCs w:val="22"/>
          <w:lang w:val="lv-LV" w:eastAsia="en-US"/>
        </w:rPr>
        <w:t xml:space="preserve"> </w:t>
      </w:r>
      <w:r w:rsidR="002E707C" w:rsidRPr="00580E74">
        <w:rPr>
          <w:rFonts w:ascii="Calibri" w:hAnsi="Calibri" w:cs="Calibri"/>
          <w:i/>
          <w:color w:val="auto"/>
          <w:sz w:val="22"/>
          <w:szCs w:val="22"/>
          <w:lang w:val="lv-LV"/>
        </w:rPr>
        <w:t xml:space="preserve"> </w:t>
      </w:r>
      <w:r w:rsidR="002E707C" w:rsidRPr="00580E74">
        <w:rPr>
          <w:rFonts w:ascii="Calibri" w:hAnsi="Calibri" w:cs="Calibri"/>
          <w:color w:val="auto"/>
          <w:sz w:val="22"/>
          <w:szCs w:val="22"/>
          <w:lang w:val="lv-LV"/>
        </w:rPr>
        <w:t>201</w:t>
      </w:r>
      <w:r>
        <w:rPr>
          <w:rFonts w:ascii="Calibri" w:hAnsi="Calibri" w:cs="Calibri"/>
          <w:color w:val="auto"/>
          <w:sz w:val="22"/>
          <w:szCs w:val="22"/>
          <w:lang w:val="lv-LV"/>
        </w:rPr>
        <w:t>9</w:t>
      </w:r>
      <w:r w:rsidR="002E707C" w:rsidRPr="00580E74">
        <w:rPr>
          <w:rFonts w:ascii="Calibri" w:hAnsi="Calibri" w:cs="Calibri"/>
          <w:color w:val="auto"/>
          <w:sz w:val="22"/>
          <w:szCs w:val="22"/>
          <w:lang w:val="lv-LV"/>
        </w:rPr>
        <w:t xml:space="preserve">.gadā kopumā tika pieņemti </w:t>
      </w:r>
      <w:r>
        <w:rPr>
          <w:rFonts w:ascii="Calibri" w:hAnsi="Calibri" w:cs="Calibri"/>
          <w:color w:val="auto"/>
          <w:sz w:val="22"/>
          <w:szCs w:val="22"/>
          <w:lang w:val="lv-LV"/>
        </w:rPr>
        <w:t>7</w:t>
      </w:r>
      <w:r w:rsidR="002E707C" w:rsidRPr="00580E74">
        <w:rPr>
          <w:rFonts w:ascii="Calibri" w:hAnsi="Calibri" w:cs="Calibri"/>
          <w:color w:val="auto"/>
          <w:sz w:val="22"/>
          <w:szCs w:val="22"/>
          <w:lang w:val="lv-LV"/>
        </w:rPr>
        <w:t xml:space="preserve"> </w:t>
      </w:r>
      <w:r>
        <w:rPr>
          <w:rFonts w:ascii="Calibri" w:hAnsi="Calibri" w:cs="Calibri"/>
          <w:color w:val="auto"/>
          <w:sz w:val="22"/>
          <w:szCs w:val="22"/>
          <w:lang w:val="lv-LV"/>
        </w:rPr>
        <w:t xml:space="preserve">lēmumi – par riska novērtēšanu un </w:t>
      </w:r>
      <w:r w:rsidR="002E707C" w:rsidRPr="00580E74">
        <w:rPr>
          <w:rFonts w:ascii="Calibri" w:hAnsi="Calibri" w:cs="Calibri"/>
          <w:color w:val="auto"/>
          <w:sz w:val="22"/>
          <w:szCs w:val="22"/>
          <w:lang w:val="lv-LV"/>
        </w:rPr>
        <w:t>par termiņa pagarināšanu.</w:t>
      </w:r>
    </w:p>
    <w:p w:rsidR="002E707C" w:rsidRPr="00D41F65" w:rsidRDefault="002E707C" w:rsidP="00F56177">
      <w:pPr>
        <w:pStyle w:val="Heading1"/>
        <w:pBdr>
          <w:bottom w:val="single" w:sz="4" w:space="0" w:color="auto"/>
        </w:pBdr>
        <w:spacing w:before="240"/>
        <w:ind w:left="567"/>
        <w:rPr>
          <w:rFonts w:ascii="Calibri" w:hAnsi="Calibri" w:cs="Calibri"/>
          <w:b/>
          <w:color w:val="auto"/>
          <w:sz w:val="24"/>
          <w:szCs w:val="24"/>
          <w:lang w:val="lv-LV"/>
        </w:rPr>
      </w:pPr>
      <w:bookmarkStart w:id="37" w:name="_Toc51146315"/>
      <w:r w:rsidRPr="00D41F65">
        <w:rPr>
          <w:rFonts w:ascii="Calibri" w:hAnsi="Calibri" w:cs="Calibri"/>
          <w:b/>
          <w:color w:val="auto"/>
          <w:sz w:val="24"/>
          <w:szCs w:val="24"/>
          <w:lang w:val="lv-LV"/>
        </w:rPr>
        <w:t>Drošības apliecība</w:t>
      </w:r>
      <w:bookmarkEnd w:id="37"/>
    </w:p>
    <w:p w:rsidR="002E707C" w:rsidRPr="00580E74" w:rsidRDefault="002E707C" w:rsidP="002E707C">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bookmarkStart w:id="38" w:name="OLE_LINK13"/>
      <w:bookmarkStart w:id="39" w:name="OLE_LINK14"/>
      <w:r w:rsidRPr="00580E74">
        <w:rPr>
          <w:rFonts w:ascii="Calibri" w:hAnsi="Calibri" w:cs="Calibri"/>
          <w:i/>
          <w:color w:val="auto"/>
          <w:sz w:val="22"/>
          <w:szCs w:val="22"/>
          <w:lang w:val="lv-LV"/>
        </w:rPr>
        <w:tab/>
      </w:r>
      <w:r w:rsidRPr="00580E74">
        <w:rPr>
          <w:rFonts w:ascii="Calibri" w:hAnsi="Calibri" w:cs="Calibri"/>
          <w:bCs/>
          <w:color w:val="auto"/>
          <w:sz w:val="22"/>
          <w:szCs w:val="22"/>
          <w:lang w:val="lv-LV"/>
        </w:rPr>
        <w:t>2011.gada 18.janvāra Ministru kabineta noteikumi Nr. 57 „</w:t>
      </w:r>
      <w:hyperlink r:id="rId34" w:history="1">
        <w:r w:rsidRPr="00580E74">
          <w:rPr>
            <w:rStyle w:val="Hyperlink"/>
            <w:rFonts w:ascii="Calibri" w:hAnsi="Calibri" w:cs="Calibri"/>
            <w:color w:val="auto"/>
            <w:sz w:val="22"/>
            <w:szCs w:val="22"/>
            <w:lang w:val="lv-LV"/>
          </w:rPr>
          <w:t>Noteikumi par drošības apliecības izsniegšanas, darbības apturēšanas un anulēšanas kritērijiem un kārtību</w:t>
        </w:r>
      </w:hyperlink>
      <w:r w:rsidRPr="00580E74">
        <w:rPr>
          <w:rFonts w:ascii="Calibri" w:hAnsi="Calibri" w:cs="Calibri"/>
          <w:bCs/>
          <w:color w:val="auto"/>
          <w:sz w:val="22"/>
          <w:szCs w:val="22"/>
          <w:lang w:val="lv-LV"/>
        </w:rPr>
        <w:t xml:space="preserve"> nosaka prasības </w:t>
      </w:r>
      <w:r w:rsidRPr="00580E74">
        <w:rPr>
          <w:rStyle w:val="Strong"/>
          <w:rFonts w:ascii="Calibri" w:hAnsi="Calibri" w:cs="Calibri"/>
          <w:color w:val="auto"/>
          <w:sz w:val="22"/>
          <w:szCs w:val="22"/>
          <w:lang w:val="lv-LV"/>
        </w:rPr>
        <w:t xml:space="preserve">dzelzceļa drošības atļaujas iegūšanas prasībām. </w:t>
      </w:r>
      <w:r w:rsidRPr="00580E74">
        <w:rPr>
          <w:rFonts w:ascii="Calibri" w:hAnsi="Calibri" w:cs="Calibri"/>
          <w:color w:val="auto"/>
          <w:sz w:val="22"/>
          <w:szCs w:val="22"/>
          <w:lang w:val="lv-LV"/>
        </w:rPr>
        <w:t xml:space="preserve">Drošības apliecības tiek izsniegtas ritošā sastāva būvniecībai un remontam, dzelzceļa infrastruktūras tehniskā aprīkojuma būvniecībai, remontam un tehniskai apkopei, dzelzceļa infrastruktūras pārvaldīšanai un manevru </w:t>
      </w:r>
      <w:r w:rsidRPr="00580E74">
        <w:rPr>
          <w:rFonts w:ascii="Calibri" w:hAnsi="Calibri" w:cs="Calibri"/>
          <w:color w:val="auto"/>
          <w:sz w:val="22"/>
          <w:szCs w:val="22"/>
          <w:shd w:val="clear" w:color="auto" w:fill="FFFFFF" w:themeFill="background1"/>
          <w:lang w:val="lv-LV"/>
        </w:rPr>
        <w:t>darbiem.</w:t>
      </w:r>
    </w:p>
    <w:p w:rsidR="002E707C" w:rsidRPr="00580E74" w:rsidRDefault="009143A1" w:rsidP="002E707C">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r>
        <w:rPr>
          <w:rFonts w:ascii="Calibri" w:hAnsi="Calibri" w:cs="Calibri"/>
          <w:b/>
          <w:color w:val="auto"/>
          <w:sz w:val="22"/>
          <w:szCs w:val="22"/>
          <w:shd w:val="clear" w:color="auto" w:fill="FFFFFF" w:themeFill="background1"/>
          <w:lang w:val="lv-LV"/>
        </w:rPr>
        <w:t>Pārskata gadā VDzTI izsniedza 69</w:t>
      </w:r>
      <w:r w:rsidR="002E707C" w:rsidRPr="009143A1">
        <w:rPr>
          <w:rFonts w:ascii="Calibri" w:hAnsi="Calibri" w:cs="Calibri"/>
          <w:b/>
          <w:color w:val="auto"/>
          <w:sz w:val="22"/>
          <w:szCs w:val="22"/>
          <w:shd w:val="clear" w:color="auto" w:fill="FFFFFF" w:themeFill="background1"/>
          <w:lang w:val="lv-LV"/>
        </w:rPr>
        <w:t xml:space="preserve"> drošības apliecības</w:t>
      </w:r>
      <w:r w:rsidR="002E707C" w:rsidRPr="00580E74">
        <w:rPr>
          <w:rFonts w:ascii="Calibri" w:hAnsi="Calibri" w:cs="Calibri"/>
          <w:color w:val="auto"/>
          <w:sz w:val="22"/>
          <w:szCs w:val="22"/>
          <w:shd w:val="clear" w:color="auto" w:fill="FFFFFF" w:themeFill="background1"/>
          <w:lang w:val="lv-LV"/>
        </w:rPr>
        <w:t xml:space="preserve">, apturēja </w:t>
      </w:r>
      <w:r>
        <w:rPr>
          <w:rFonts w:ascii="Calibri" w:hAnsi="Calibri" w:cs="Calibri"/>
          <w:color w:val="auto"/>
          <w:sz w:val="22"/>
          <w:szCs w:val="22"/>
          <w:shd w:val="clear" w:color="auto" w:fill="FFFFFF" w:themeFill="background1"/>
          <w:lang w:val="lv-LV"/>
        </w:rPr>
        <w:t>14</w:t>
      </w:r>
      <w:r w:rsidR="002E707C" w:rsidRPr="00580E74">
        <w:rPr>
          <w:rFonts w:ascii="Calibri" w:hAnsi="Calibri" w:cs="Calibri"/>
          <w:color w:val="auto"/>
          <w:sz w:val="22"/>
          <w:szCs w:val="22"/>
          <w:shd w:val="clear" w:color="auto" w:fill="FFFFFF" w:themeFill="background1"/>
          <w:lang w:val="lv-LV"/>
        </w:rPr>
        <w:t xml:space="preserve"> drošības apliecību darbību un anulēja </w:t>
      </w:r>
      <w:r>
        <w:rPr>
          <w:rFonts w:ascii="Calibri" w:hAnsi="Calibri" w:cs="Calibri"/>
          <w:color w:val="auto"/>
          <w:sz w:val="22"/>
          <w:szCs w:val="22"/>
          <w:shd w:val="clear" w:color="auto" w:fill="FFFFFF" w:themeFill="background1"/>
          <w:lang w:val="lv-LV"/>
        </w:rPr>
        <w:t>23</w:t>
      </w:r>
      <w:r w:rsidR="002E707C" w:rsidRPr="00580E74">
        <w:rPr>
          <w:rFonts w:ascii="Calibri" w:hAnsi="Calibri" w:cs="Calibri"/>
          <w:color w:val="auto"/>
          <w:sz w:val="22"/>
          <w:szCs w:val="22"/>
          <w:shd w:val="clear" w:color="auto" w:fill="FFFFFF" w:themeFill="background1"/>
          <w:lang w:val="lv-LV"/>
        </w:rPr>
        <w:t xml:space="preserve"> drošības apliecības.</w:t>
      </w:r>
      <w:r>
        <w:rPr>
          <w:rFonts w:ascii="Calibri" w:hAnsi="Calibri" w:cs="Calibri"/>
          <w:color w:val="auto"/>
          <w:sz w:val="22"/>
          <w:szCs w:val="22"/>
          <w:shd w:val="clear" w:color="auto" w:fill="FFFFFF" w:themeFill="background1"/>
          <w:lang w:val="lv-LV"/>
        </w:rPr>
        <w:t xml:space="preserve"> </w:t>
      </w:r>
      <w:r w:rsidR="002E707C" w:rsidRPr="00580E74">
        <w:rPr>
          <w:rFonts w:ascii="Calibri" w:hAnsi="Calibri" w:cs="Calibri"/>
          <w:color w:val="auto"/>
          <w:sz w:val="22"/>
          <w:szCs w:val="22"/>
          <w:shd w:val="clear" w:color="auto" w:fill="FFFFFF" w:themeFill="background1"/>
          <w:lang w:val="lv-LV"/>
        </w:rPr>
        <w:t xml:space="preserve">Vidējais izsniegto drošības apliecību skaits gadā ir 61,34 apliecības. </w:t>
      </w:r>
    </w:p>
    <w:p w:rsidR="002E707C" w:rsidRPr="00580E74" w:rsidRDefault="002E707C" w:rsidP="002E707C">
      <w:pPr>
        <w:spacing w:before="120" w:after="120" w:line="240" w:lineRule="auto"/>
        <w:jc w:val="right"/>
        <w:rPr>
          <w:rFonts w:ascii="Calibri" w:hAnsi="Calibri" w:cs="Calibri"/>
          <w:color w:val="auto"/>
          <w:sz w:val="22"/>
          <w:szCs w:val="22"/>
          <w:lang w:val="lv-LV"/>
        </w:rPr>
      </w:pPr>
      <w:r w:rsidRPr="00580E74">
        <w:rPr>
          <w:rFonts w:ascii="Calibri" w:hAnsi="Calibri" w:cs="Calibri"/>
          <w:b/>
          <w:color w:val="auto"/>
          <w:szCs w:val="22"/>
          <w:lang w:val="lv-LV"/>
        </w:rPr>
        <w:t>1</w:t>
      </w:r>
      <w:r w:rsidR="009143A1">
        <w:rPr>
          <w:rFonts w:ascii="Calibri" w:hAnsi="Calibri" w:cs="Calibri"/>
          <w:b/>
          <w:color w:val="auto"/>
          <w:szCs w:val="22"/>
          <w:lang w:val="lv-LV"/>
        </w:rPr>
        <w:t>3</w:t>
      </w:r>
      <w:r w:rsidRPr="00580E74">
        <w:rPr>
          <w:rFonts w:ascii="Calibri" w:hAnsi="Calibri" w:cs="Calibri"/>
          <w:b/>
          <w:color w:val="auto"/>
          <w:szCs w:val="22"/>
          <w:lang w:val="lv-LV"/>
        </w:rPr>
        <w:t>.tabula</w:t>
      </w:r>
      <w:r w:rsidR="001C52F4">
        <w:rPr>
          <w:rFonts w:ascii="Calibri" w:hAnsi="Calibri" w:cs="Calibri"/>
          <w:b/>
          <w:color w:val="auto"/>
          <w:szCs w:val="22"/>
          <w:lang w:val="lv-LV"/>
        </w:rPr>
        <w:t>.</w:t>
      </w:r>
      <w:r w:rsidRPr="00580E74">
        <w:rPr>
          <w:rFonts w:ascii="Calibri" w:hAnsi="Calibri" w:cs="Calibri"/>
          <w:b/>
          <w:color w:val="auto"/>
          <w:szCs w:val="22"/>
          <w:lang w:val="lv-LV"/>
        </w:rPr>
        <w:t xml:space="preserve"> Izsniegtās drošības apliecības (pa gadiem)</w:t>
      </w:r>
    </w:p>
    <w:tbl>
      <w:tblPr>
        <w:tblW w:w="9528"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8"/>
        <w:gridCol w:w="694"/>
        <w:gridCol w:w="694"/>
        <w:gridCol w:w="694"/>
        <w:gridCol w:w="694"/>
        <w:gridCol w:w="694"/>
      </w:tblGrid>
      <w:tr w:rsidR="009143A1" w:rsidRPr="00580E74" w:rsidTr="000E365C">
        <w:trPr>
          <w:jc w:val="center"/>
        </w:trPr>
        <w:tc>
          <w:tcPr>
            <w:tcW w:w="6058" w:type="dxa"/>
            <w:tcBorders>
              <w:top w:val="single" w:sz="18" w:space="0" w:color="FFFFFF" w:themeColor="background1"/>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before="100" w:beforeAutospacing="1" w:after="100" w:afterAutospacing="1"/>
              <w:rPr>
                <w:rFonts w:ascii="Calibri" w:hAnsi="Calibri" w:cs="Calibri"/>
                <w:color w:val="auto"/>
                <w:sz w:val="22"/>
                <w:szCs w:val="22"/>
                <w:lang w:val="lv-LV"/>
              </w:rPr>
            </w:pPr>
            <w:r w:rsidRPr="00580E74">
              <w:rPr>
                <w:rFonts w:ascii="Calibri" w:hAnsi="Calibri" w:cs="Calibri"/>
                <w:color w:val="auto"/>
                <w:sz w:val="22"/>
                <w:szCs w:val="22"/>
                <w:lang w:val="lv-LV"/>
              </w:rPr>
              <w:t>  </w:t>
            </w:r>
          </w:p>
        </w:tc>
        <w:tc>
          <w:tcPr>
            <w:tcW w:w="694" w:type="dxa"/>
            <w:tcBorders>
              <w:top w:val="single" w:sz="18" w:space="0" w:color="FFFFFF" w:themeColor="background1"/>
              <w:bottom w:val="single" w:sz="4" w:space="0" w:color="auto"/>
            </w:tcBorders>
          </w:tcPr>
          <w:p w:rsidR="009143A1" w:rsidRPr="00580E74" w:rsidRDefault="009143A1" w:rsidP="009143A1">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2015</w:t>
            </w:r>
          </w:p>
        </w:tc>
        <w:tc>
          <w:tcPr>
            <w:tcW w:w="694" w:type="dxa"/>
            <w:tcBorders>
              <w:top w:val="single" w:sz="18" w:space="0" w:color="FFFFFF" w:themeColor="background1"/>
              <w:bottom w:val="single" w:sz="4" w:space="0" w:color="auto"/>
            </w:tcBorders>
          </w:tcPr>
          <w:p w:rsidR="009143A1" w:rsidRPr="00580E74" w:rsidRDefault="009143A1" w:rsidP="009143A1">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2016</w:t>
            </w:r>
          </w:p>
        </w:tc>
        <w:tc>
          <w:tcPr>
            <w:tcW w:w="694" w:type="dxa"/>
            <w:tcBorders>
              <w:top w:val="single" w:sz="18" w:space="0" w:color="FFFFFF" w:themeColor="background1"/>
              <w:bottom w:val="single" w:sz="4" w:space="0" w:color="auto"/>
            </w:tcBorders>
          </w:tcPr>
          <w:p w:rsidR="009143A1" w:rsidRPr="00580E74" w:rsidRDefault="009143A1" w:rsidP="009143A1">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2017</w:t>
            </w:r>
          </w:p>
        </w:tc>
        <w:tc>
          <w:tcPr>
            <w:tcW w:w="694" w:type="dxa"/>
            <w:tcBorders>
              <w:top w:val="single" w:sz="18" w:space="0" w:color="FFFFFF" w:themeColor="background1"/>
              <w:bottom w:val="single" w:sz="4" w:space="0" w:color="auto"/>
            </w:tcBorders>
            <w:vAlign w:val="center"/>
          </w:tcPr>
          <w:p w:rsidR="009143A1" w:rsidRPr="00580E74" w:rsidRDefault="009143A1" w:rsidP="009143A1">
            <w:pPr>
              <w:spacing w:before="100" w:beforeAutospacing="1" w:after="100" w:afterAutospacing="1"/>
              <w:jc w:val="center"/>
              <w:rPr>
                <w:rFonts w:ascii="Calibri" w:hAnsi="Calibri" w:cs="Calibri"/>
                <w:b/>
                <w:color w:val="auto"/>
                <w:sz w:val="22"/>
                <w:szCs w:val="22"/>
              </w:rPr>
            </w:pPr>
            <w:r w:rsidRPr="00580E74">
              <w:rPr>
                <w:rFonts w:ascii="Calibri" w:hAnsi="Calibri" w:cs="Calibri"/>
                <w:b/>
                <w:color w:val="auto"/>
                <w:sz w:val="22"/>
                <w:szCs w:val="22"/>
              </w:rPr>
              <w:t>2018</w:t>
            </w:r>
          </w:p>
        </w:tc>
        <w:tc>
          <w:tcPr>
            <w:tcW w:w="694" w:type="dxa"/>
            <w:tcBorders>
              <w:top w:val="single" w:sz="18" w:space="0" w:color="FFFFFF" w:themeColor="background1"/>
              <w:bottom w:val="single" w:sz="4" w:space="0" w:color="auto"/>
            </w:tcBorders>
          </w:tcPr>
          <w:p w:rsidR="009143A1" w:rsidRPr="00580E74" w:rsidRDefault="00956302" w:rsidP="009143A1">
            <w:pPr>
              <w:spacing w:before="100" w:beforeAutospacing="1" w:after="100" w:afterAutospacing="1"/>
              <w:jc w:val="center"/>
              <w:rPr>
                <w:rFonts w:ascii="Calibri" w:hAnsi="Calibri" w:cs="Calibri"/>
                <w:b/>
                <w:bCs/>
                <w:color w:val="auto"/>
                <w:sz w:val="22"/>
                <w:szCs w:val="22"/>
              </w:rPr>
            </w:pPr>
            <w:r>
              <w:rPr>
                <w:rFonts w:ascii="Calibri" w:hAnsi="Calibri" w:cs="Calibri"/>
                <w:b/>
                <w:bCs/>
                <w:color w:val="auto"/>
                <w:sz w:val="22"/>
                <w:szCs w:val="22"/>
              </w:rPr>
              <w:t>2019</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after="0" w:line="240" w:lineRule="auto"/>
              <w:rPr>
                <w:rFonts w:ascii="Calibri" w:hAnsi="Calibri" w:cs="Calibri"/>
                <w:b/>
                <w:color w:val="auto"/>
                <w:sz w:val="22"/>
                <w:szCs w:val="22"/>
              </w:rPr>
            </w:pPr>
            <w:r w:rsidRPr="00580E74">
              <w:rPr>
                <w:rFonts w:ascii="Calibri" w:hAnsi="Calibri" w:cs="Calibri"/>
                <w:b/>
                <w:color w:val="auto"/>
                <w:sz w:val="22"/>
                <w:szCs w:val="22"/>
              </w:rPr>
              <w:t>Komercdarbība jomas</w:t>
            </w: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after="0" w:line="240" w:lineRule="auto"/>
              <w:jc w:val="right"/>
              <w:rPr>
                <w:rFonts w:ascii="Calibri" w:hAnsi="Calibri" w:cs="Calibri"/>
                <w:color w:val="auto"/>
                <w:sz w:val="22"/>
                <w:szCs w:val="22"/>
                <w:lang w:val="lv-LV"/>
              </w:rPr>
            </w:pPr>
            <w:r w:rsidRPr="00580E74">
              <w:rPr>
                <w:rFonts w:ascii="Calibri" w:hAnsi="Calibri" w:cs="Calibri"/>
                <w:color w:val="auto"/>
                <w:sz w:val="22"/>
                <w:szCs w:val="22"/>
                <w:lang w:val="lv-LV"/>
              </w:rPr>
              <w:t xml:space="preserve">ritošā sastāva būvniecība, remonts vai tehniskā apkope </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7</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w:t>
            </w:r>
          </w:p>
        </w:tc>
        <w:tc>
          <w:tcPr>
            <w:tcW w:w="694" w:type="dxa"/>
            <w:tcBorders>
              <w:top w:val="single" w:sz="4" w:space="0" w:color="auto"/>
              <w:bottom w:val="single" w:sz="4" w:space="0" w:color="auto"/>
            </w:tcBorders>
            <w:vAlign w:val="center"/>
          </w:tcPr>
          <w:p w:rsidR="009143A1" w:rsidRPr="00580E74" w:rsidRDefault="00956302" w:rsidP="009143A1">
            <w:pPr>
              <w:spacing w:after="0" w:line="240" w:lineRule="auto"/>
              <w:jc w:val="center"/>
              <w:rPr>
                <w:rFonts w:ascii="Calibri" w:hAnsi="Calibri" w:cs="Calibri"/>
                <w:color w:val="auto"/>
                <w:sz w:val="22"/>
                <w:szCs w:val="22"/>
              </w:rPr>
            </w:pPr>
            <w:r>
              <w:rPr>
                <w:rFonts w:ascii="Calibri" w:hAnsi="Calibri" w:cs="Calibri"/>
                <w:color w:val="auto"/>
                <w:sz w:val="22"/>
                <w:szCs w:val="22"/>
              </w:rPr>
              <w:t>4</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tcPr>
          <w:p w:rsidR="009143A1" w:rsidRPr="00580E74" w:rsidRDefault="009143A1" w:rsidP="009143A1">
            <w:pPr>
              <w:spacing w:after="0" w:line="240" w:lineRule="auto"/>
              <w:jc w:val="right"/>
              <w:rPr>
                <w:rFonts w:ascii="Calibri" w:hAnsi="Calibri" w:cs="Calibri"/>
                <w:color w:val="auto"/>
                <w:sz w:val="22"/>
                <w:szCs w:val="22"/>
                <w:lang w:val="lv-LV"/>
              </w:rPr>
            </w:pPr>
            <w:r w:rsidRPr="00580E74">
              <w:rPr>
                <w:rFonts w:ascii="Calibri" w:hAnsi="Calibri" w:cs="Calibri"/>
                <w:color w:val="auto"/>
                <w:sz w:val="22"/>
                <w:szCs w:val="22"/>
                <w:lang w:val="lv-LV"/>
              </w:rPr>
              <w:t>par tehnisko apkopi atbildīgā struktūrvienība, tai skaitā</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18</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34</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20</w:t>
            </w:r>
          </w:p>
        </w:tc>
        <w:tc>
          <w:tcPr>
            <w:tcW w:w="694" w:type="dxa"/>
            <w:tcBorders>
              <w:top w:val="single" w:sz="4" w:space="0" w:color="auto"/>
              <w:bottom w:val="single" w:sz="4" w:space="0" w:color="auto"/>
            </w:tcBorders>
            <w:vAlign w:val="center"/>
          </w:tcPr>
          <w:p w:rsidR="009143A1" w:rsidRPr="00580E74" w:rsidRDefault="00956302" w:rsidP="009143A1">
            <w:pPr>
              <w:spacing w:after="0" w:line="240" w:lineRule="auto"/>
              <w:jc w:val="center"/>
              <w:rPr>
                <w:rFonts w:ascii="Calibri" w:hAnsi="Calibri" w:cs="Calibri"/>
                <w:color w:val="auto"/>
                <w:sz w:val="22"/>
                <w:szCs w:val="22"/>
              </w:rPr>
            </w:pPr>
            <w:r>
              <w:rPr>
                <w:rFonts w:ascii="Calibri" w:hAnsi="Calibri" w:cs="Calibri"/>
                <w:color w:val="auto"/>
                <w:sz w:val="22"/>
                <w:szCs w:val="22"/>
              </w:rPr>
              <w:t>26</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tcPr>
          <w:p w:rsidR="009143A1" w:rsidRPr="00580E74" w:rsidRDefault="009143A1" w:rsidP="009143A1">
            <w:pPr>
              <w:spacing w:after="0" w:line="240" w:lineRule="auto"/>
              <w:jc w:val="right"/>
              <w:rPr>
                <w:rFonts w:ascii="Calibri" w:hAnsi="Calibri" w:cs="Calibri"/>
                <w:i/>
                <w:color w:val="auto"/>
                <w:sz w:val="22"/>
                <w:szCs w:val="22"/>
                <w:lang w:val="lv-LV"/>
              </w:rPr>
            </w:pPr>
            <w:r w:rsidRPr="00580E74">
              <w:rPr>
                <w:rFonts w:ascii="Calibri" w:hAnsi="Calibri" w:cs="Calibri"/>
                <w:i/>
                <w:color w:val="auto"/>
                <w:sz w:val="22"/>
                <w:szCs w:val="22"/>
                <w:lang w:val="lv-LV"/>
              </w:rPr>
              <w:t>kravas vagonu tehniskā apkope</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6</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22</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8</w:t>
            </w:r>
          </w:p>
        </w:tc>
        <w:tc>
          <w:tcPr>
            <w:tcW w:w="694" w:type="dxa"/>
            <w:tcBorders>
              <w:top w:val="single" w:sz="4" w:space="0" w:color="auto"/>
              <w:bottom w:val="single" w:sz="4" w:space="0" w:color="auto"/>
            </w:tcBorders>
            <w:vAlign w:val="center"/>
          </w:tcPr>
          <w:p w:rsidR="009143A1" w:rsidRPr="00956302" w:rsidRDefault="00956302" w:rsidP="009143A1">
            <w:pPr>
              <w:spacing w:after="0" w:line="240" w:lineRule="auto"/>
              <w:jc w:val="center"/>
              <w:rPr>
                <w:rFonts w:ascii="Calibri" w:hAnsi="Calibri" w:cs="Calibri"/>
                <w:color w:val="auto"/>
                <w:sz w:val="22"/>
                <w:szCs w:val="22"/>
              </w:rPr>
            </w:pPr>
            <w:r w:rsidRPr="00956302">
              <w:rPr>
                <w:rFonts w:ascii="Calibri" w:hAnsi="Calibri" w:cs="Calibri"/>
                <w:color w:val="auto"/>
                <w:sz w:val="22"/>
                <w:szCs w:val="22"/>
              </w:rPr>
              <w:t>2</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after="0" w:line="240" w:lineRule="auto"/>
              <w:jc w:val="right"/>
              <w:rPr>
                <w:rFonts w:ascii="Calibri" w:hAnsi="Calibri" w:cs="Calibri"/>
                <w:color w:val="auto"/>
                <w:sz w:val="22"/>
                <w:szCs w:val="22"/>
                <w:lang w:val="lv-LV"/>
              </w:rPr>
            </w:pPr>
            <w:bookmarkStart w:id="40" w:name="OLE_LINK6"/>
            <w:bookmarkStart w:id="41" w:name="OLE_LINK5"/>
            <w:bookmarkEnd w:id="40"/>
            <w:r w:rsidRPr="00580E74">
              <w:rPr>
                <w:rFonts w:ascii="Calibri" w:hAnsi="Calibri" w:cs="Calibri"/>
                <w:color w:val="auto"/>
                <w:sz w:val="22"/>
                <w:szCs w:val="22"/>
                <w:lang w:val="lv-LV"/>
              </w:rPr>
              <w:t>dzelzceļa infrastruktūras tehniskā aprīkojuma būvniecība, remonts un tehniskā apkope</w:t>
            </w:r>
            <w:bookmarkEnd w:id="41"/>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38</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23</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51</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44</w:t>
            </w:r>
          </w:p>
        </w:tc>
        <w:tc>
          <w:tcPr>
            <w:tcW w:w="694" w:type="dxa"/>
            <w:tcBorders>
              <w:top w:val="single" w:sz="4" w:space="0" w:color="auto"/>
              <w:bottom w:val="single" w:sz="4" w:space="0" w:color="auto"/>
            </w:tcBorders>
            <w:vAlign w:val="center"/>
          </w:tcPr>
          <w:p w:rsidR="009143A1" w:rsidRPr="00580E74" w:rsidRDefault="00956302" w:rsidP="009143A1">
            <w:pPr>
              <w:spacing w:after="0" w:line="240" w:lineRule="auto"/>
              <w:jc w:val="center"/>
              <w:rPr>
                <w:rFonts w:ascii="Calibri" w:hAnsi="Calibri" w:cs="Calibri"/>
                <w:color w:val="auto"/>
                <w:sz w:val="22"/>
                <w:szCs w:val="22"/>
              </w:rPr>
            </w:pPr>
            <w:r>
              <w:rPr>
                <w:rFonts w:ascii="Calibri" w:hAnsi="Calibri" w:cs="Calibri"/>
                <w:color w:val="auto"/>
                <w:sz w:val="22"/>
                <w:szCs w:val="22"/>
              </w:rPr>
              <w:t>26</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after="0" w:line="240" w:lineRule="auto"/>
              <w:jc w:val="right"/>
              <w:outlineLvl w:val="6"/>
              <w:rPr>
                <w:rFonts w:ascii="Calibri" w:hAnsi="Calibri" w:cs="Calibri"/>
                <w:color w:val="auto"/>
                <w:sz w:val="22"/>
                <w:szCs w:val="22"/>
                <w:lang w:val="lv-LV"/>
              </w:rPr>
            </w:pPr>
            <w:r w:rsidRPr="00580E74">
              <w:rPr>
                <w:rFonts w:ascii="Calibri" w:hAnsi="Calibri" w:cs="Calibri"/>
                <w:color w:val="auto"/>
                <w:sz w:val="22"/>
                <w:szCs w:val="22"/>
                <w:lang w:val="lv-LV"/>
              </w:rPr>
              <w:t>manevru darbi</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outlineLvl w:val="6"/>
              <w:rPr>
                <w:rFonts w:ascii="Calibri" w:hAnsi="Calibri" w:cs="Calibri"/>
                <w:color w:val="auto"/>
                <w:sz w:val="22"/>
                <w:szCs w:val="22"/>
              </w:rPr>
            </w:pPr>
            <w:r w:rsidRPr="00580E74">
              <w:rPr>
                <w:rFonts w:ascii="Calibri" w:hAnsi="Calibri" w:cs="Calibri"/>
                <w:color w:val="auto"/>
                <w:sz w:val="22"/>
                <w:szCs w:val="22"/>
              </w:rPr>
              <w:t>6</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18</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w:t>
            </w:r>
          </w:p>
        </w:tc>
        <w:tc>
          <w:tcPr>
            <w:tcW w:w="694" w:type="dxa"/>
            <w:tcBorders>
              <w:top w:val="single" w:sz="4" w:space="0" w:color="auto"/>
              <w:bottom w:val="single" w:sz="4" w:space="0" w:color="auto"/>
            </w:tcBorders>
            <w:vAlign w:val="center"/>
          </w:tcPr>
          <w:p w:rsidR="009143A1" w:rsidRPr="00580E74" w:rsidRDefault="00956302" w:rsidP="009143A1">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1</w:t>
            </w:r>
          </w:p>
        </w:tc>
      </w:tr>
      <w:tr w:rsidR="009143A1"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9143A1" w:rsidRPr="00580E74" w:rsidRDefault="009143A1" w:rsidP="009143A1">
            <w:pPr>
              <w:spacing w:after="0" w:line="240" w:lineRule="auto"/>
              <w:jc w:val="right"/>
              <w:outlineLvl w:val="6"/>
              <w:rPr>
                <w:rFonts w:ascii="Calibri" w:hAnsi="Calibri" w:cs="Calibri"/>
                <w:color w:val="auto"/>
                <w:sz w:val="22"/>
                <w:szCs w:val="22"/>
                <w:lang w:val="lv-LV"/>
              </w:rPr>
            </w:pPr>
            <w:r w:rsidRPr="00580E74">
              <w:rPr>
                <w:rFonts w:ascii="Calibri" w:hAnsi="Calibri" w:cs="Calibri"/>
                <w:color w:val="auto"/>
                <w:sz w:val="22"/>
                <w:szCs w:val="22"/>
                <w:lang w:val="lv-LV"/>
              </w:rPr>
              <w:t>dzelzceļa infrastruktūras pārvaldīšana</w:t>
            </w: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outlineLvl w:val="6"/>
              <w:rPr>
                <w:rFonts w:ascii="Calibri" w:hAnsi="Calibri" w:cs="Calibri"/>
                <w:color w:val="auto"/>
                <w:sz w:val="22"/>
                <w:szCs w:val="22"/>
              </w:rPr>
            </w:pPr>
            <w:r w:rsidRPr="00580E74">
              <w:rPr>
                <w:rFonts w:ascii="Calibri" w:hAnsi="Calibri" w:cs="Calibri"/>
                <w:color w:val="auto"/>
                <w:sz w:val="22"/>
                <w:szCs w:val="22"/>
              </w:rPr>
              <w:t>102</w:t>
            </w: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101</w:t>
            </w:r>
          </w:p>
        </w:tc>
        <w:tc>
          <w:tcPr>
            <w:tcW w:w="694" w:type="dxa"/>
            <w:tcBorders>
              <w:top w:val="single" w:sz="4" w:space="0" w:color="auto"/>
              <w:bottom w:val="single" w:sz="4" w:space="0" w:color="auto"/>
            </w:tcBorders>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49</w:t>
            </w:r>
          </w:p>
        </w:tc>
        <w:tc>
          <w:tcPr>
            <w:tcW w:w="694" w:type="dxa"/>
            <w:tcBorders>
              <w:top w:val="single" w:sz="4" w:space="0" w:color="auto"/>
              <w:bottom w:val="single" w:sz="4" w:space="0" w:color="auto"/>
            </w:tcBorders>
            <w:vAlign w:val="center"/>
          </w:tcPr>
          <w:p w:rsidR="009143A1" w:rsidRPr="00580E74" w:rsidRDefault="009143A1" w:rsidP="009143A1">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51</w:t>
            </w:r>
          </w:p>
        </w:tc>
        <w:tc>
          <w:tcPr>
            <w:tcW w:w="694" w:type="dxa"/>
            <w:tcBorders>
              <w:top w:val="single" w:sz="4" w:space="0" w:color="auto"/>
              <w:bottom w:val="single" w:sz="4" w:space="0" w:color="auto"/>
            </w:tcBorders>
            <w:vAlign w:val="center"/>
          </w:tcPr>
          <w:p w:rsidR="009143A1" w:rsidRPr="00580E74" w:rsidRDefault="00956302" w:rsidP="009143A1">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25</w:t>
            </w:r>
          </w:p>
        </w:tc>
      </w:tr>
      <w:tr w:rsidR="00806C8F" w:rsidRPr="00580E74" w:rsidTr="00BF7303">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tcPr>
          <w:p w:rsidR="00806C8F" w:rsidRPr="00580E74" w:rsidRDefault="00806C8F" w:rsidP="00806C8F">
            <w:pPr>
              <w:spacing w:before="100" w:beforeAutospacing="1" w:after="100" w:afterAutospacing="1"/>
              <w:rPr>
                <w:rFonts w:ascii="Calibri" w:hAnsi="Calibri" w:cs="Calibri"/>
                <w:color w:val="auto"/>
                <w:sz w:val="22"/>
                <w:szCs w:val="22"/>
                <w:lang w:val="lv-LV"/>
              </w:rPr>
            </w:pPr>
            <w:r w:rsidRPr="00580E74">
              <w:rPr>
                <w:rFonts w:ascii="Calibri" w:hAnsi="Calibri" w:cs="Calibri"/>
                <w:color w:val="auto"/>
                <w:sz w:val="22"/>
                <w:szCs w:val="22"/>
                <w:lang w:val="lv-LV"/>
              </w:rPr>
              <w:lastRenderedPageBreak/>
              <w:t>  </w:t>
            </w:r>
          </w:p>
        </w:tc>
        <w:tc>
          <w:tcPr>
            <w:tcW w:w="694" w:type="dxa"/>
            <w:tcBorders>
              <w:top w:val="single" w:sz="4" w:space="0" w:color="auto"/>
              <w:bottom w:val="single" w:sz="4" w:space="0" w:color="auto"/>
            </w:tcBorders>
          </w:tcPr>
          <w:p w:rsidR="00806C8F" w:rsidRPr="00580E74" w:rsidRDefault="00806C8F" w:rsidP="00806C8F">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2015</w:t>
            </w:r>
          </w:p>
        </w:tc>
        <w:tc>
          <w:tcPr>
            <w:tcW w:w="694" w:type="dxa"/>
            <w:tcBorders>
              <w:top w:val="single" w:sz="4" w:space="0" w:color="auto"/>
              <w:bottom w:val="single" w:sz="4" w:space="0" w:color="auto"/>
            </w:tcBorders>
          </w:tcPr>
          <w:p w:rsidR="00806C8F" w:rsidRPr="00580E74" w:rsidRDefault="00806C8F" w:rsidP="00806C8F">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2016</w:t>
            </w:r>
          </w:p>
        </w:tc>
        <w:tc>
          <w:tcPr>
            <w:tcW w:w="694" w:type="dxa"/>
            <w:tcBorders>
              <w:top w:val="single" w:sz="4" w:space="0" w:color="auto"/>
              <w:bottom w:val="single" w:sz="4" w:space="0" w:color="auto"/>
            </w:tcBorders>
          </w:tcPr>
          <w:p w:rsidR="00806C8F" w:rsidRPr="00580E74" w:rsidRDefault="00806C8F" w:rsidP="00806C8F">
            <w:pPr>
              <w:spacing w:before="100" w:beforeAutospacing="1" w:after="100" w:afterAutospacing="1"/>
              <w:jc w:val="center"/>
              <w:rPr>
                <w:rFonts w:ascii="Calibri" w:hAnsi="Calibri" w:cs="Calibri"/>
                <w:b/>
                <w:bCs/>
                <w:color w:val="auto"/>
                <w:sz w:val="22"/>
                <w:szCs w:val="22"/>
              </w:rPr>
            </w:pPr>
            <w:r w:rsidRPr="00580E74">
              <w:rPr>
                <w:rFonts w:ascii="Calibri" w:hAnsi="Calibri" w:cs="Calibri"/>
                <w:b/>
                <w:bCs/>
                <w:color w:val="auto"/>
                <w:sz w:val="22"/>
                <w:szCs w:val="22"/>
              </w:rPr>
              <w:t>2017</w:t>
            </w:r>
          </w:p>
        </w:tc>
        <w:tc>
          <w:tcPr>
            <w:tcW w:w="694" w:type="dxa"/>
            <w:tcBorders>
              <w:top w:val="single" w:sz="4" w:space="0" w:color="auto"/>
              <w:bottom w:val="single" w:sz="4" w:space="0" w:color="auto"/>
            </w:tcBorders>
            <w:vAlign w:val="center"/>
          </w:tcPr>
          <w:p w:rsidR="00806C8F" w:rsidRPr="00580E74" w:rsidRDefault="00806C8F" w:rsidP="00806C8F">
            <w:pPr>
              <w:spacing w:before="100" w:beforeAutospacing="1" w:after="100" w:afterAutospacing="1"/>
              <w:jc w:val="center"/>
              <w:rPr>
                <w:rFonts w:ascii="Calibri" w:hAnsi="Calibri" w:cs="Calibri"/>
                <w:b/>
                <w:color w:val="auto"/>
                <w:sz w:val="22"/>
                <w:szCs w:val="22"/>
              </w:rPr>
            </w:pPr>
            <w:r w:rsidRPr="00580E74">
              <w:rPr>
                <w:rFonts w:ascii="Calibri" w:hAnsi="Calibri" w:cs="Calibri"/>
                <w:b/>
                <w:color w:val="auto"/>
                <w:sz w:val="22"/>
                <w:szCs w:val="22"/>
              </w:rPr>
              <w:t>2018</w:t>
            </w:r>
          </w:p>
        </w:tc>
        <w:tc>
          <w:tcPr>
            <w:tcW w:w="694" w:type="dxa"/>
            <w:tcBorders>
              <w:top w:val="single" w:sz="4" w:space="0" w:color="auto"/>
              <w:bottom w:val="single" w:sz="4" w:space="0" w:color="auto"/>
            </w:tcBorders>
          </w:tcPr>
          <w:p w:rsidR="00806C8F" w:rsidRPr="00580E74" w:rsidRDefault="00806C8F" w:rsidP="00806C8F">
            <w:pPr>
              <w:spacing w:before="100" w:beforeAutospacing="1" w:after="100" w:afterAutospacing="1"/>
              <w:jc w:val="center"/>
              <w:rPr>
                <w:rFonts w:ascii="Calibri" w:hAnsi="Calibri" w:cs="Calibri"/>
                <w:b/>
                <w:bCs/>
                <w:color w:val="auto"/>
                <w:sz w:val="22"/>
                <w:szCs w:val="22"/>
              </w:rPr>
            </w:pPr>
            <w:r>
              <w:rPr>
                <w:rFonts w:ascii="Calibri" w:hAnsi="Calibri" w:cs="Calibri"/>
                <w:b/>
                <w:bCs/>
                <w:color w:val="auto"/>
                <w:sz w:val="22"/>
                <w:szCs w:val="22"/>
              </w:rPr>
              <w:t>2019</w:t>
            </w:r>
          </w:p>
        </w:tc>
      </w:tr>
      <w:tr w:rsidR="00806C8F" w:rsidRPr="00580E74" w:rsidTr="00956302">
        <w:trPr>
          <w:jc w:val="center"/>
        </w:trPr>
        <w:tc>
          <w:tcPr>
            <w:tcW w:w="6058" w:type="dxa"/>
            <w:tcBorders>
              <w:top w:val="single" w:sz="4" w:space="0" w:color="auto"/>
              <w:bottom w:val="nil"/>
            </w:tcBorders>
            <w:shd w:val="clear" w:color="auto" w:fill="auto"/>
            <w:tcMar>
              <w:top w:w="0" w:type="dxa"/>
              <w:left w:w="108" w:type="dxa"/>
              <w:bottom w:w="0" w:type="dxa"/>
              <w:right w:w="108" w:type="dxa"/>
            </w:tcMar>
          </w:tcPr>
          <w:p w:rsidR="00806C8F" w:rsidRPr="00580E74" w:rsidRDefault="00806C8F" w:rsidP="00806C8F">
            <w:pPr>
              <w:spacing w:after="0" w:line="240" w:lineRule="auto"/>
              <w:rPr>
                <w:rFonts w:ascii="Calibri" w:hAnsi="Calibri" w:cs="Calibri"/>
                <w:color w:val="auto"/>
                <w:sz w:val="22"/>
                <w:szCs w:val="22"/>
                <w:lang w:val="lv-LV"/>
              </w:rPr>
            </w:pPr>
            <w:r w:rsidRPr="00580E74">
              <w:rPr>
                <w:rFonts w:ascii="Calibri" w:hAnsi="Calibri" w:cs="Calibri"/>
                <w:b/>
                <w:bCs/>
                <w:color w:val="auto"/>
                <w:sz w:val="22"/>
                <w:szCs w:val="22"/>
                <w:lang w:val="lv-LV"/>
              </w:rPr>
              <w:t>Drošības apliecības veids</w:t>
            </w:r>
          </w:p>
        </w:tc>
        <w:tc>
          <w:tcPr>
            <w:tcW w:w="694" w:type="dxa"/>
            <w:tcBorders>
              <w:top w:val="single" w:sz="4" w:space="0" w:color="auto"/>
              <w:bottom w:val="nil"/>
            </w:tcBorders>
          </w:tcPr>
          <w:p w:rsidR="00806C8F" w:rsidRPr="00580E74" w:rsidRDefault="00806C8F" w:rsidP="00806C8F">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tcPr>
          <w:p w:rsidR="00806C8F" w:rsidRPr="00580E74" w:rsidRDefault="00806C8F" w:rsidP="00806C8F">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tcPr>
          <w:p w:rsidR="00806C8F" w:rsidRPr="00580E74" w:rsidRDefault="00806C8F" w:rsidP="00806C8F">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vAlign w:val="center"/>
          </w:tcPr>
          <w:p w:rsidR="00806C8F" w:rsidRPr="00580E74" w:rsidRDefault="00806C8F" w:rsidP="00806C8F">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b/>
                <w:bCs/>
                <w:color w:val="auto"/>
                <w:sz w:val="22"/>
                <w:szCs w:val="22"/>
              </w:rPr>
            </w:pPr>
          </w:p>
        </w:tc>
      </w:tr>
      <w:tr w:rsidR="00806C8F" w:rsidRPr="00580E74" w:rsidTr="00956302">
        <w:trPr>
          <w:jc w:val="center"/>
        </w:trPr>
        <w:tc>
          <w:tcPr>
            <w:tcW w:w="60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806C8F" w:rsidRPr="00580E74" w:rsidRDefault="00806C8F" w:rsidP="00806C8F">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jauna drošības apliecība</w:t>
            </w:r>
          </w:p>
        </w:tc>
        <w:tc>
          <w:tcPr>
            <w:tcW w:w="694" w:type="dxa"/>
            <w:tcBorders>
              <w:top w:val="single" w:sz="4" w:space="0" w:color="auto"/>
              <w:left w:val="single" w:sz="4" w:space="0" w:color="auto"/>
              <w:bottom w:val="single" w:sz="4" w:space="0" w:color="auto"/>
              <w:right w:val="single" w:sz="4" w:space="0" w:color="auto"/>
            </w:tcBorders>
          </w:tcPr>
          <w:p w:rsidR="00806C8F" w:rsidRPr="00580E74" w:rsidRDefault="00806C8F" w:rsidP="00806C8F">
            <w:pPr>
              <w:spacing w:after="0" w:line="240" w:lineRule="auto"/>
              <w:jc w:val="center"/>
              <w:rPr>
                <w:rFonts w:ascii="Calibri" w:hAnsi="Calibri" w:cs="Calibri"/>
                <w:bCs/>
                <w:color w:val="auto"/>
                <w:sz w:val="22"/>
                <w:szCs w:val="22"/>
              </w:rPr>
            </w:pPr>
            <w:r w:rsidRPr="00580E74">
              <w:rPr>
                <w:rFonts w:ascii="Calibri" w:hAnsi="Calibri" w:cs="Calibri"/>
                <w:bCs/>
                <w:color w:val="auto"/>
                <w:sz w:val="22"/>
                <w:szCs w:val="22"/>
              </w:rPr>
              <w:t>84</w:t>
            </w:r>
          </w:p>
        </w:tc>
        <w:tc>
          <w:tcPr>
            <w:tcW w:w="694" w:type="dxa"/>
            <w:tcBorders>
              <w:top w:val="single" w:sz="4" w:space="0" w:color="auto"/>
              <w:left w:val="single" w:sz="4" w:space="0" w:color="auto"/>
              <w:bottom w:val="single" w:sz="4" w:space="0" w:color="auto"/>
              <w:right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29</w:t>
            </w:r>
          </w:p>
        </w:tc>
        <w:tc>
          <w:tcPr>
            <w:tcW w:w="694" w:type="dxa"/>
            <w:tcBorders>
              <w:top w:val="single" w:sz="4" w:space="0" w:color="auto"/>
              <w:left w:val="single" w:sz="4" w:space="0" w:color="auto"/>
              <w:bottom w:val="single" w:sz="4" w:space="0" w:color="auto"/>
              <w:right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46</w:t>
            </w:r>
          </w:p>
        </w:tc>
        <w:tc>
          <w:tcPr>
            <w:tcW w:w="694" w:type="dxa"/>
            <w:tcBorders>
              <w:top w:val="single" w:sz="4" w:space="0" w:color="auto"/>
              <w:left w:val="single" w:sz="4" w:space="0" w:color="auto"/>
              <w:bottom w:val="single" w:sz="4" w:space="0" w:color="auto"/>
              <w:right w:val="single" w:sz="4" w:space="0" w:color="auto"/>
            </w:tcBorders>
            <w:vAlign w:val="center"/>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17</w:t>
            </w:r>
          </w:p>
        </w:tc>
        <w:tc>
          <w:tcPr>
            <w:tcW w:w="694" w:type="dxa"/>
            <w:tcBorders>
              <w:top w:val="single" w:sz="4" w:space="0" w:color="auto"/>
              <w:left w:val="single" w:sz="4" w:space="0" w:color="auto"/>
              <w:bottom w:val="single" w:sz="4" w:space="0" w:color="auto"/>
              <w:right w:val="nil"/>
            </w:tcBorders>
            <w:vAlign w:val="center"/>
          </w:tcPr>
          <w:p w:rsidR="00806C8F" w:rsidRPr="00580E74" w:rsidRDefault="00806C8F" w:rsidP="00806C8F">
            <w:pPr>
              <w:spacing w:after="0" w:line="240" w:lineRule="auto"/>
              <w:jc w:val="center"/>
              <w:rPr>
                <w:rFonts w:ascii="Calibri" w:hAnsi="Calibri" w:cs="Calibri"/>
                <w:bCs/>
                <w:color w:val="auto"/>
                <w:sz w:val="22"/>
                <w:szCs w:val="22"/>
              </w:rPr>
            </w:pPr>
            <w:r>
              <w:rPr>
                <w:rFonts w:ascii="Calibri" w:hAnsi="Calibri" w:cs="Calibri"/>
                <w:bCs/>
                <w:color w:val="auto"/>
                <w:sz w:val="22"/>
                <w:szCs w:val="22"/>
              </w:rPr>
              <w:t>21</w:t>
            </w:r>
          </w:p>
        </w:tc>
      </w:tr>
      <w:tr w:rsidR="00806C8F" w:rsidRPr="00580E74" w:rsidTr="00956302">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rsidR="00806C8F" w:rsidRPr="00580E74" w:rsidRDefault="00806C8F" w:rsidP="00806C8F">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atjaunota drošības apliecība</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bCs/>
                <w:color w:val="auto"/>
                <w:sz w:val="22"/>
                <w:szCs w:val="22"/>
              </w:rPr>
            </w:pPr>
            <w:r w:rsidRPr="00580E74">
              <w:rPr>
                <w:rFonts w:ascii="Calibri" w:hAnsi="Calibri" w:cs="Calibri"/>
                <w:bCs/>
                <w:color w:val="auto"/>
                <w:sz w:val="22"/>
                <w:szCs w:val="22"/>
              </w:rPr>
              <w:t>42</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46</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41</w:t>
            </w: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42</w:t>
            </w: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bCs/>
                <w:color w:val="auto"/>
                <w:sz w:val="22"/>
                <w:szCs w:val="22"/>
              </w:rPr>
            </w:pPr>
            <w:r>
              <w:rPr>
                <w:rFonts w:ascii="Calibri" w:hAnsi="Calibri" w:cs="Calibri"/>
                <w:bCs/>
                <w:color w:val="auto"/>
                <w:sz w:val="22"/>
                <w:szCs w:val="22"/>
              </w:rPr>
              <w:t>30</w:t>
            </w:r>
          </w:p>
        </w:tc>
      </w:tr>
      <w:tr w:rsidR="00806C8F" w:rsidRPr="00580E74" w:rsidTr="000E365C">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rsidR="00806C8F" w:rsidRPr="00580E74" w:rsidRDefault="00806C8F" w:rsidP="00806C8F">
            <w:pPr>
              <w:pStyle w:val="StyleBodyText14ptJustifiedFirstline127cm"/>
              <w:spacing w:after="0"/>
              <w:ind w:firstLine="0"/>
              <w:jc w:val="right"/>
              <w:rPr>
                <w:rFonts w:ascii="Calibri" w:hAnsi="Calibri" w:cs="Calibri"/>
                <w:sz w:val="22"/>
                <w:szCs w:val="22"/>
              </w:rPr>
            </w:pPr>
            <w:r w:rsidRPr="00580E74">
              <w:rPr>
                <w:rFonts w:ascii="Calibri" w:hAnsi="Calibri" w:cs="Calibri"/>
                <w:sz w:val="22"/>
                <w:szCs w:val="22"/>
              </w:rPr>
              <w:t>precizēta/grozīta drošības apliecība</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bCs/>
                <w:color w:val="auto"/>
                <w:sz w:val="22"/>
                <w:szCs w:val="22"/>
              </w:rPr>
            </w:pPr>
            <w:r w:rsidRPr="00580E74">
              <w:rPr>
                <w:rFonts w:ascii="Calibri" w:hAnsi="Calibri" w:cs="Calibri"/>
                <w:bCs/>
                <w:color w:val="auto"/>
                <w:sz w:val="22"/>
                <w:szCs w:val="22"/>
              </w:rPr>
              <w:t>23</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27</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8</w:t>
            </w: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color w:val="auto"/>
                <w:sz w:val="22"/>
                <w:szCs w:val="22"/>
              </w:rPr>
            </w:pPr>
            <w:r w:rsidRPr="00580E74">
              <w:rPr>
                <w:rFonts w:ascii="Calibri" w:hAnsi="Calibri" w:cs="Calibri"/>
                <w:color w:val="auto"/>
                <w:sz w:val="22"/>
                <w:szCs w:val="22"/>
              </w:rPr>
              <w:t>21</w:t>
            </w: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bCs/>
                <w:color w:val="auto"/>
                <w:sz w:val="22"/>
                <w:szCs w:val="22"/>
              </w:rPr>
            </w:pPr>
            <w:r>
              <w:rPr>
                <w:rFonts w:ascii="Calibri" w:hAnsi="Calibri" w:cs="Calibri"/>
                <w:bCs/>
                <w:color w:val="auto"/>
                <w:sz w:val="22"/>
                <w:szCs w:val="22"/>
              </w:rPr>
              <w:t>18</w:t>
            </w:r>
          </w:p>
        </w:tc>
      </w:tr>
      <w:tr w:rsidR="00806C8F" w:rsidRPr="00580E74" w:rsidTr="000E365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rsidR="00806C8F" w:rsidRPr="00580E74" w:rsidRDefault="00806C8F" w:rsidP="00806C8F">
            <w:pPr>
              <w:spacing w:after="0" w:line="240" w:lineRule="auto"/>
              <w:rPr>
                <w:rFonts w:ascii="Calibri" w:hAnsi="Calibri" w:cs="Calibri"/>
                <w:color w:val="auto"/>
                <w:sz w:val="22"/>
                <w:szCs w:val="22"/>
                <w:lang w:val="lv-LV"/>
              </w:rPr>
            </w:pPr>
            <w:r w:rsidRPr="00580E74">
              <w:rPr>
                <w:rFonts w:ascii="Calibri" w:hAnsi="Calibri" w:cs="Calibri"/>
                <w:b/>
                <w:bCs/>
                <w:color w:val="auto"/>
                <w:sz w:val="22"/>
                <w:szCs w:val="22"/>
                <w:lang w:val="lv-LV"/>
              </w:rPr>
              <w:t>Anulētas drošības apliecības</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27</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20</w:t>
            </w:r>
          </w:p>
        </w:tc>
        <w:tc>
          <w:tcPr>
            <w:tcW w:w="694" w:type="dxa"/>
            <w:tcBorders>
              <w:top w:val="single" w:sz="4" w:space="0" w:color="auto"/>
              <w:bottom w:val="single" w:sz="4" w:space="0" w:color="auto"/>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19</w:t>
            </w:r>
          </w:p>
        </w:tc>
        <w:tc>
          <w:tcPr>
            <w:tcW w:w="694" w:type="dxa"/>
            <w:tcBorders>
              <w:top w:val="single" w:sz="4" w:space="0" w:color="auto"/>
              <w:bottom w:val="single" w:sz="4" w:space="0" w:color="auto"/>
            </w:tcBorders>
            <w:vAlign w:val="center"/>
          </w:tcPr>
          <w:p w:rsidR="00806C8F" w:rsidRPr="00956302" w:rsidRDefault="00806C8F" w:rsidP="00806C8F">
            <w:pPr>
              <w:spacing w:after="0" w:line="240" w:lineRule="auto"/>
              <w:jc w:val="center"/>
              <w:rPr>
                <w:rFonts w:ascii="Calibri" w:hAnsi="Calibri" w:cs="Calibri"/>
                <w:b/>
                <w:color w:val="auto"/>
                <w:sz w:val="22"/>
                <w:szCs w:val="22"/>
              </w:rPr>
            </w:pPr>
            <w:r w:rsidRPr="00956302">
              <w:rPr>
                <w:rFonts w:ascii="Calibri" w:hAnsi="Calibri" w:cs="Calibri"/>
                <w:b/>
                <w:color w:val="auto"/>
                <w:sz w:val="22"/>
                <w:szCs w:val="22"/>
              </w:rPr>
              <w:t>22</w:t>
            </w:r>
          </w:p>
        </w:tc>
        <w:tc>
          <w:tcPr>
            <w:tcW w:w="694" w:type="dxa"/>
            <w:tcBorders>
              <w:top w:val="single" w:sz="4" w:space="0" w:color="auto"/>
              <w:bottom w:val="single" w:sz="4" w:space="0" w:color="auto"/>
            </w:tcBorders>
            <w:vAlign w:val="center"/>
          </w:tcPr>
          <w:p w:rsidR="00806C8F" w:rsidRPr="00580E74" w:rsidRDefault="00806C8F" w:rsidP="00806C8F">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23</w:t>
            </w:r>
          </w:p>
        </w:tc>
      </w:tr>
      <w:tr w:rsidR="00806C8F" w:rsidRPr="00580E74" w:rsidTr="000E365C">
        <w:trPr>
          <w:jc w:val="center"/>
        </w:trPr>
        <w:tc>
          <w:tcPr>
            <w:tcW w:w="6058" w:type="dxa"/>
            <w:tcBorders>
              <w:top w:val="single" w:sz="4" w:space="0" w:color="auto"/>
              <w:bottom w:val="single" w:sz="18" w:space="0" w:color="FFFFFF" w:themeColor="background1"/>
            </w:tcBorders>
            <w:shd w:val="clear" w:color="auto" w:fill="auto"/>
            <w:tcMar>
              <w:top w:w="0" w:type="dxa"/>
              <w:left w:w="108" w:type="dxa"/>
              <w:bottom w:w="0" w:type="dxa"/>
              <w:right w:w="108" w:type="dxa"/>
            </w:tcMar>
            <w:hideMark/>
          </w:tcPr>
          <w:p w:rsidR="00806C8F" w:rsidRPr="00580E74" w:rsidRDefault="00806C8F" w:rsidP="00806C8F">
            <w:pPr>
              <w:spacing w:after="0" w:line="240" w:lineRule="auto"/>
              <w:rPr>
                <w:rFonts w:ascii="Calibri" w:hAnsi="Calibri" w:cs="Calibri"/>
                <w:color w:val="auto"/>
                <w:sz w:val="22"/>
                <w:szCs w:val="22"/>
                <w:lang w:val="lv-LV"/>
              </w:rPr>
            </w:pPr>
            <w:r w:rsidRPr="00580E74">
              <w:rPr>
                <w:rFonts w:ascii="Calibri" w:hAnsi="Calibri" w:cs="Calibri"/>
                <w:b/>
                <w:bCs/>
                <w:color w:val="auto"/>
                <w:sz w:val="22"/>
                <w:szCs w:val="22"/>
                <w:lang w:val="lv-LV"/>
              </w:rPr>
              <w:t>Apturēta drošības apliecību darbība</w:t>
            </w:r>
          </w:p>
        </w:tc>
        <w:tc>
          <w:tcPr>
            <w:tcW w:w="694" w:type="dxa"/>
            <w:tcBorders>
              <w:top w:val="single" w:sz="4" w:space="0" w:color="auto"/>
              <w:bottom w:val="single" w:sz="18" w:space="0" w:color="FFFFFF" w:themeColor="background1"/>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20</w:t>
            </w:r>
          </w:p>
        </w:tc>
        <w:tc>
          <w:tcPr>
            <w:tcW w:w="694" w:type="dxa"/>
            <w:tcBorders>
              <w:top w:val="single" w:sz="4" w:space="0" w:color="auto"/>
              <w:bottom w:val="single" w:sz="18" w:space="0" w:color="FFFFFF" w:themeColor="background1"/>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44</w:t>
            </w:r>
          </w:p>
        </w:tc>
        <w:tc>
          <w:tcPr>
            <w:tcW w:w="694" w:type="dxa"/>
            <w:tcBorders>
              <w:top w:val="single" w:sz="4" w:space="0" w:color="auto"/>
              <w:bottom w:val="single" w:sz="18" w:space="0" w:color="FFFFFF" w:themeColor="background1"/>
            </w:tcBorders>
          </w:tcPr>
          <w:p w:rsidR="00806C8F" w:rsidRPr="00580E74" w:rsidRDefault="00806C8F" w:rsidP="00806C8F">
            <w:pPr>
              <w:spacing w:after="0" w:line="240" w:lineRule="auto"/>
              <w:jc w:val="center"/>
              <w:rPr>
                <w:rFonts w:ascii="Calibri" w:hAnsi="Calibri" w:cs="Calibri"/>
                <w:b/>
                <w:bCs/>
                <w:color w:val="auto"/>
                <w:sz w:val="22"/>
                <w:szCs w:val="22"/>
              </w:rPr>
            </w:pPr>
            <w:r w:rsidRPr="00580E74">
              <w:rPr>
                <w:rFonts w:ascii="Calibri" w:hAnsi="Calibri" w:cs="Calibri"/>
                <w:b/>
                <w:bCs/>
                <w:color w:val="auto"/>
                <w:sz w:val="22"/>
                <w:szCs w:val="22"/>
              </w:rPr>
              <w:t>21</w:t>
            </w:r>
          </w:p>
        </w:tc>
        <w:tc>
          <w:tcPr>
            <w:tcW w:w="694" w:type="dxa"/>
            <w:tcBorders>
              <w:top w:val="single" w:sz="4" w:space="0" w:color="auto"/>
              <w:bottom w:val="single" w:sz="18" w:space="0" w:color="FFFFFF" w:themeColor="background1"/>
            </w:tcBorders>
            <w:vAlign w:val="center"/>
          </w:tcPr>
          <w:p w:rsidR="00806C8F" w:rsidRPr="00956302" w:rsidRDefault="00806C8F" w:rsidP="00806C8F">
            <w:pPr>
              <w:spacing w:after="0" w:line="240" w:lineRule="auto"/>
              <w:jc w:val="center"/>
              <w:rPr>
                <w:rFonts w:ascii="Calibri" w:hAnsi="Calibri" w:cs="Calibri"/>
                <w:b/>
                <w:color w:val="auto"/>
                <w:sz w:val="22"/>
                <w:szCs w:val="22"/>
              </w:rPr>
            </w:pPr>
            <w:r w:rsidRPr="00956302">
              <w:rPr>
                <w:rFonts w:ascii="Calibri" w:hAnsi="Calibri" w:cs="Calibri"/>
                <w:b/>
                <w:color w:val="auto"/>
                <w:sz w:val="22"/>
                <w:szCs w:val="22"/>
              </w:rPr>
              <w:t>24</w:t>
            </w:r>
          </w:p>
        </w:tc>
        <w:tc>
          <w:tcPr>
            <w:tcW w:w="694" w:type="dxa"/>
            <w:tcBorders>
              <w:top w:val="single" w:sz="4" w:space="0" w:color="auto"/>
              <w:bottom w:val="single" w:sz="18" w:space="0" w:color="FFFFFF" w:themeColor="background1"/>
            </w:tcBorders>
            <w:vAlign w:val="center"/>
          </w:tcPr>
          <w:p w:rsidR="00806C8F" w:rsidRPr="00580E74" w:rsidRDefault="00806C8F" w:rsidP="00806C8F">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12</w:t>
            </w:r>
          </w:p>
        </w:tc>
      </w:tr>
    </w:tbl>
    <w:p w:rsidR="002E707C" w:rsidRPr="00D41F65" w:rsidRDefault="002E707C" w:rsidP="000A39BD">
      <w:pPr>
        <w:pStyle w:val="Heading1"/>
        <w:pBdr>
          <w:bottom w:val="single" w:sz="4" w:space="0" w:color="auto"/>
        </w:pBdr>
        <w:spacing w:before="240"/>
        <w:ind w:left="709"/>
        <w:rPr>
          <w:rFonts w:ascii="Calibri" w:hAnsi="Calibri" w:cs="Calibri"/>
          <w:b/>
          <w:color w:val="auto"/>
          <w:sz w:val="24"/>
          <w:szCs w:val="24"/>
          <w:lang w:val="lv-LV"/>
        </w:rPr>
      </w:pPr>
      <w:bookmarkStart w:id="42" w:name="_Toc43198282"/>
      <w:bookmarkStart w:id="43" w:name="_Toc51146316"/>
      <w:bookmarkEnd w:id="38"/>
      <w:bookmarkEnd w:id="39"/>
      <w:r w:rsidRPr="00D41F65">
        <w:rPr>
          <w:rFonts w:ascii="Calibri" w:hAnsi="Calibri" w:cs="Calibri"/>
          <w:b/>
          <w:color w:val="auto"/>
          <w:sz w:val="24"/>
          <w:szCs w:val="24"/>
          <w:lang w:val="lv-LV"/>
        </w:rPr>
        <w:t>Vilces līdzekļu vadītāju (mašīnistu), palīgu un instruktoru sertificēšana</w:t>
      </w:r>
      <w:bookmarkEnd w:id="42"/>
      <w:bookmarkEnd w:id="43"/>
      <w:r w:rsidRPr="00D41F65">
        <w:rPr>
          <w:rFonts w:ascii="Calibri" w:hAnsi="Calibri" w:cs="Calibri"/>
          <w:b/>
          <w:color w:val="auto"/>
          <w:sz w:val="24"/>
          <w:szCs w:val="24"/>
          <w:lang w:val="lv-LV"/>
        </w:rPr>
        <w:t xml:space="preserve"> </w:t>
      </w:r>
    </w:p>
    <w:p w:rsidR="002E707C" w:rsidRPr="00580E74" w:rsidRDefault="002E707C" w:rsidP="002E707C">
      <w:pPr>
        <w:pStyle w:val="NormalWeb"/>
        <w:spacing w:before="0" w:beforeAutospacing="0" w:after="120" w:afterAutospacing="0"/>
        <w:ind w:firstLine="720"/>
        <w:rPr>
          <w:rFonts w:ascii="Calibri" w:hAnsi="Calibri" w:cs="Calibri"/>
          <w:sz w:val="22"/>
          <w:szCs w:val="22"/>
          <w:lang w:val="lv-LV"/>
        </w:rPr>
      </w:pPr>
      <w:r w:rsidRPr="00580E74">
        <w:rPr>
          <w:rFonts w:ascii="Calibri" w:hAnsi="Calibri" w:cs="Calibri"/>
          <w:sz w:val="22"/>
          <w:szCs w:val="22"/>
          <w:lang w:val="lv-LV"/>
        </w:rPr>
        <w:t>VDzTI sertificēšanas procesu organizē saskaņā ar 2006.gada 28.marta Ministru kabineta noteikumiem Nr.236 “</w:t>
      </w:r>
      <w:hyperlink r:id="rId35" w:history="1">
        <w:r w:rsidRPr="00F661B4">
          <w:rPr>
            <w:rStyle w:val="Hyperlink"/>
            <w:rFonts w:ascii="Calibri" w:hAnsi="Calibri" w:cs="Calibri"/>
            <w:color w:val="auto"/>
            <w:sz w:val="22"/>
            <w:szCs w:val="22"/>
            <w:lang w:val="lv-LV"/>
          </w:rPr>
          <w:t>Noteikumi par vilces līdzekļa vadītāja (mašīnista) instruktora, vilces līdzekļa vadītāja (mašīnista), vilces līdzekļa vadītāja (mašīnista) palīga kvalifikācijas prasībām un sertifikācijas kārtību</w:t>
        </w:r>
      </w:hyperlink>
      <w:r w:rsidRPr="00F661B4">
        <w:rPr>
          <w:rFonts w:ascii="Calibri" w:hAnsi="Calibri" w:cs="Calibri"/>
          <w:sz w:val="22"/>
          <w:szCs w:val="22"/>
          <w:lang w:val="lv-LV"/>
        </w:rPr>
        <w:t xml:space="preserve">” (nosaka sertificēšanas prasības vilces līdzekļu vadītāju instruktoru un palīgu sertificēšanai) un </w:t>
      </w:r>
      <w:r w:rsidRPr="00F661B4">
        <w:rPr>
          <w:rFonts w:ascii="Calibri" w:hAnsi="Calibri" w:cs="Calibri"/>
          <w:bCs/>
          <w:sz w:val="22"/>
          <w:szCs w:val="22"/>
          <w:lang w:val="lv-LV"/>
        </w:rPr>
        <w:t>2010.gada 14.septembra MK noteikumiem Nr. 873 „</w:t>
      </w:r>
      <w:hyperlink r:id="rId36" w:history="1">
        <w:r w:rsidRPr="00F661B4">
          <w:rPr>
            <w:rStyle w:val="Hyperlink"/>
            <w:rFonts w:ascii="Calibri" w:hAnsi="Calibri" w:cs="Calibri"/>
            <w:color w:val="auto"/>
            <w:sz w:val="22"/>
            <w:szCs w:val="22"/>
            <w:lang w:val="lv-LV"/>
          </w:rPr>
          <w:t>Noteikumi par vilces līdzekļa vadītāja (mašīnista) kvalifikācijas un vilces līdzekļa vadīšanas tiesību iegūšanu</w:t>
        </w:r>
      </w:hyperlink>
      <w:r w:rsidRPr="00F661B4">
        <w:rPr>
          <w:rFonts w:ascii="Calibri" w:hAnsi="Calibri" w:cs="Calibri"/>
          <w:bCs/>
          <w:sz w:val="22"/>
          <w:szCs w:val="22"/>
          <w:lang w:val="lv-LV"/>
        </w:rPr>
        <w:t>” (</w:t>
      </w:r>
      <w:r w:rsidRPr="00F661B4">
        <w:rPr>
          <w:rFonts w:ascii="Calibri" w:hAnsi="Calibri" w:cs="Calibri"/>
          <w:sz w:val="22"/>
          <w:szCs w:val="22"/>
          <w:lang w:val="lv-LV"/>
        </w:rPr>
        <w:t>n</w:t>
      </w:r>
      <w:r w:rsidRPr="00580E74">
        <w:rPr>
          <w:rFonts w:ascii="Calibri" w:hAnsi="Calibri" w:cs="Calibri"/>
          <w:sz w:val="22"/>
          <w:szCs w:val="22"/>
          <w:lang w:val="lv-LV"/>
        </w:rPr>
        <w:t xml:space="preserve">osaka sertificēšanas prasības vilces līdzekļu vadītāju sertificēšanai). </w:t>
      </w:r>
    </w:p>
    <w:p w:rsidR="00F661B4" w:rsidRDefault="002E707C" w:rsidP="002E707C">
      <w:pPr>
        <w:pStyle w:val="NormalWeb"/>
        <w:spacing w:before="0" w:beforeAutospacing="0" w:after="120" w:afterAutospacing="0"/>
        <w:ind w:firstLine="720"/>
        <w:rPr>
          <w:rFonts w:ascii="Calibri" w:hAnsi="Calibri" w:cs="Calibri"/>
          <w:sz w:val="22"/>
          <w:szCs w:val="22"/>
          <w:lang w:val="lv-LV"/>
        </w:rPr>
      </w:pPr>
      <w:r w:rsidRPr="004E5466">
        <w:rPr>
          <w:rFonts w:ascii="Calibri" w:hAnsi="Calibri" w:cs="Calibri"/>
          <w:sz w:val="22"/>
          <w:szCs w:val="22"/>
          <w:lang w:val="lv-LV"/>
        </w:rPr>
        <w:t xml:space="preserve">Pārskata gadā VDzTI ir organizējusi </w:t>
      </w:r>
      <w:r w:rsidR="00F661B4" w:rsidRPr="004E5466">
        <w:rPr>
          <w:rFonts w:ascii="Calibri" w:hAnsi="Calibri" w:cs="Calibri"/>
          <w:sz w:val="22"/>
          <w:szCs w:val="22"/>
          <w:lang w:val="lv-LV"/>
        </w:rPr>
        <w:t>207</w:t>
      </w:r>
      <w:r w:rsidRPr="004E5466">
        <w:rPr>
          <w:rFonts w:ascii="Calibri" w:hAnsi="Calibri" w:cs="Calibri"/>
          <w:sz w:val="22"/>
          <w:szCs w:val="22"/>
          <w:lang w:val="lv-LV"/>
        </w:rPr>
        <w:t xml:space="preserve"> eksaminācijas, 1</w:t>
      </w:r>
      <w:r w:rsidR="00F661B4" w:rsidRPr="004E5466">
        <w:rPr>
          <w:rFonts w:ascii="Calibri" w:hAnsi="Calibri" w:cs="Calibri"/>
          <w:sz w:val="22"/>
          <w:szCs w:val="22"/>
          <w:lang w:val="lv-LV"/>
        </w:rPr>
        <w:t>44</w:t>
      </w:r>
      <w:r w:rsidRPr="004E5466">
        <w:rPr>
          <w:rFonts w:ascii="Calibri" w:hAnsi="Calibri" w:cs="Calibri"/>
          <w:sz w:val="22"/>
          <w:szCs w:val="22"/>
          <w:lang w:val="lv-LV"/>
        </w:rPr>
        <w:t xml:space="preserve"> personām piešķirot sertifikātus</w:t>
      </w:r>
      <w:r w:rsidRPr="00580E74">
        <w:rPr>
          <w:rFonts w:ascii="Calibri" w:hAnsi="Calibri" w:cs="Calibri"/>
          <w:sz w:val="22"/>
          <w:szCs w:val="22"/>
          <w:lang w:val="lv-LV"/>
        </w:rPr>
        <w:t xml:space="preserve">. </w:t>
      </w:r>
    </w:p>
    <w:p w:rsidR="00A84DBE" w:rsidRDefault="002E707C" w:rsidP="002E707C">
      <w:pPr>
        <w:pStyle w:val="NormalWeb"/>
        <w:spacing w:before="0" w:beforeAutospacing="0" w:after="120" w:afterAutospacing="0"/>
        <w:ind w:firstLine="720"/>
        <w:rPr>
          <w:rFonts w:ascii="Calibri" w:hAnsi="Calibri" w:cs="Calibri"/>
          <w:sz w:val="22"/>
          <w:szCs w:val="22"/>
          <w:lang w:val="lv-LV"/>
        </w:rPr>
      </w:pPr>
      <w:r w:rsidRPr="00580E74">
        <w:rPr>
          <w:rFonts w:ascii="Calibri" w:hAnsi="Calibri" w:cs="Calibri"/>
          <w:sz w:val="22"/>
          <w:szCs w:val="22"/>
          <w:lang w:val="lv-LV"/>
        </w:rPr>
        <w:t xml:space="preserve">Vilces līdzekļu vadītāju sertificēšanai ir raksturīgs cikliskums. </w:t>
      </w:r>
      <w:r w:rsidR="00500BF3">
        <w:rPr>
          <w:rFonts w:ascii="Calibri" w:hAnsi="Calibri" w:cs="Calibri"/>
          <w:sz w:val="22"/>
          <w:szCs w:val="22"/>
          <w:lang w:val="lv-LV"/>
        </w:rPr>
        <w:t>Jo īpaši tas novērojams sertificējot vilces līdzekļu vadītājus un vilces līdzekļu vadītāju palīgus</w:t>
      </w:r>
      <w:r w:rsidRPr="00580E74">
        <w:rPr>
          <w:rFonts w:ascii="Calibri" w:hAnsi="Calibri" w:cs="Calibri"/>
          <w:sz w:val="22"/>
          <w:szCs w:val="22"/>
          <w:lang w:val="lv-LV"/>
        </w:rPr>
        <w:t xml:space="preserve">. </w:t>
      </w:r>
    </w:p>
    <w:p w:rsidR="004E5466" w:rsidRPr="00580E74" w:rsidRDefault="004E5466" w:rsidP="004E5466">
      <w:pPr>
        <w:pStyle w:val="NormalWeb"/>
        <w:spacing w:before="0" w:beforeAutospacing="0" w:after="120" w:afterAutospacing="0"/>
        <w:ind w:firstLine="720"/>
        <w:rPr>
          <w:rFonts w:ascii="Calibri" w:hAnsi="Calibri" w:cs="Calibri"/>
          <w:sz w:val="22"/>
          <w:szCs w:val="22"/>
          <w:lang w:val="lv-LV"/>
        </w:rPr>
      </w:pPr>
      <w:r w:rsidRPr="00580E74">
        <w:rPr>
          <w:rFonts w:ascii="Calibri" w:hAnsi="Calibri" w:cs="Calibri"/>
          <w:sz w:val="22"/>
          <w:szCs w:val="22"/>
          <w:lang w:val="lv-LV"/>
        </w:rPr>
        <w:t>Lielāko daļu no piešķirto sertifikātu īpatsvara ir sertifikāti, kas piešķirti vilces līdzekļu vadītājiem (mašīnistiem). Tie sastāda 58% no kopējā sertifikātu skaita.  No 2005.gada izsniegti 28</w:t>
      </w:r>
      <w:r>
        <w:rPr>
          <w:rFonts w:ascii="Calibri" w:hAnsi="Calibri" w:cs="Calibri"/>
          <w:sz w:val="22"/>
          <w:szCs w:val="22"/>
          <w:lang w:val="lv-LV"/>
        </w:rPr>
        <w:t>54</w:t>
      </w:r>
      <w:r w:rsidRPr="00580E74">
        <w:rPr>
          <w:rFonts w:ascii="Calibri" w:hAnsi="Calibri" w:cs="Calibri"/>
          <w:sz w:val="22"/>
          <w:szCs w:val="22"/>
          <w:lang w:val="lv-LV"/>
        </w:rPr>
        <w:t xml:space="preserve"> vilces līdzekļu vadītāju sertifikāti.  Kopumā VDzTI no 2005.gada ir izsniegusi </w:t>
      </w:r>
      <w:r>
        <w:rPr>
          <w:rFonts w:ascii="Calibri" w:hAnsi="Calibri" w:cs="Calibri"/>
          <w:sz w:val="22"/>
          <w:szCs w:val="22"/>
          <w:lang w:val="lv-LV"/>
        </w:rPr>
        <w:t>4949</w:t>
      </w:r>
      <w:r w:rsidRPr="00580E74">
        <w:rPr>
          <w:rFonts w:ascii="Calibri" w:hAnsi="Calibri" w:cs="Calibri"/>
          <w:sz w:val="22"/>
          <w:szCs w:val="22"/>
          <w:lang w:val="lv-LV"/>
        </w:rPr>
        <w:t xml:space="preserve"> sertifikātus. Statistiski vidēji gadā tiek piešķirti 2</w:t>
      </w:r>
      <w:r>
        <w:rPr>
          <w:rFonts w:ascii="Calibri" w:hAnsi="Calibri" w:cs="Calibri"/>
          <w:sz w:val="22"/>
          <w:szCs w:val="22"/>
          <w:lang w:val="lv-LV"/>
        </w:rPr>
        <w:t>7</w:t>
      </w:r>
      <w:r w:rsidRPr="00580E74">
        <w:rPr>
          <w:rFonts w:ascii="Calibri" w:hAnsi="Calibri" w:cs="Calibri"/>
          <w:sz w:val="22"/>
          <w:szCs w:val="22"/>
          <w:lang w:val="lv-LV"/>
        </w:rPr>
        <w:t>7,57 sertifikāti.</w:t>
      </w:r>
    </w:p>
    <w:p w:rsidR="00A84DBE" w:rsidRDefault="00A84DBE" w:rsidP="002E707C">
      <w:pPr>
        <w:pStyle w:val="NormalWeb"/>
        <w:spacing w:before="0" w:beforeAutospacing="0" w:after="120" w:afterAutospacing="0"/>
        <w:ind w:firstLine="720"/>
        <w:rPr>
          <w:rFonts w:ascii="Calibri" w:hAnsi="Calibri" w:cs="Calibri"/>
          <w:sz w:val="22"/>
          <w:szCs w:val="22"/>
          <w:lang w:val="lv-LV"/>
        </w:rPr>
      </w:pPr>
    </w:p>
    <w:p w:rsidR="002E707C" w:rsidRDefault="00A84DBE" w:rsidP="00A84DBE">
      <w:pPr>
        <w:pStyle w:val="NormalWeb"/>
        <w:spacing w:before="0" w:beforeAutospacing="0" w:after="120" w:afterAutospacing="0"/>
        <w:jc w:val="center"/>
        <w:rPr>
          <w:rFonts w:ascii="Calibri" w:hAnsi="Calibri" w:cs="Calibri"/>
          <w:sz w:val="22"/>
          <w:szCs w:val="22"/>
          <w:lang w:val="lv-LV"/>
        </w:rPr>
      </w:pPr>
      <w:r>
        <w:rPr>
          <w:noProof/>
          <w:lang w:val="lv-LV" w:eastAsia="lv-LV"/>
        </w:rPr>
        <w:drawing>
          <wp:inline distT="0" distB="0" distL="0" distR="0" wp14:anchorId="1C0C5128" wp14:editId="4684C006">
            <wp:extent cx="5791200" cy="3366770"/>
            <wp:effectExtent l="0" t="0" r="0" b="5080"/>
            <wp:docPr id="23" name="Chart 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E707C" w:rsidRPr="00D41F65" w:rsidRDefault="002E707C" w:rsidP="004A2225">
      <w:pPr>
        <w:pStyle w:val="Heading1"/>
        <w:pBdr>
          <w:bottom w:val="single" w:sz="4" w:space="0" w:color="auto"/>
        </w:pBdr>
        <w:spacing w:before="240"/>
        <w:ind w:left="709"/>
        <w:rPr>
          <w:rFonts w:ascii="Calibri" w:hAnsi="Calibri" w:cs="Calibri"/>
          <w:b/>
          <w:color w:val="auto"/>
          <w:sz w:val="24"/>
          <w:szCs w:val="24"/>
          <w:lang w:val="lv-LV"/>
        </w:rPr>
      </w:pPr>
      <w:bookmarkStart w:id="44" w:name="_Toc43198283"/>
      <w:bookmarkStart w:id="45" w:name="_Toc51146317"/>
      <w:r w:rsidRPr="00D41F65">
        <w:rPr>
          <w:rFonts w:ascii="Calibri" w:hAnsi="Calibri" w:cs="Calibri"/>
          <w:b/>
          <w:color w:val="auto"/>
          <w:sz w:val="24"/>
          <w:szCs w:val="24"/>
          <w:lang w:val="lv-LV"/>
        </w:rPr>
        <w:t>Teorētiskā eksāmena organizēšana un atbildīgo personu zināšanu pārbaudes</w:t>
      </w:r>
      <w:bookmarkEnd w:id="44"/>
      <w:bookmarkEnd w:id="45"/>
    </w:p>
    <w:p w:rsidR="002E707C" w:rsidRPr="00580E74" w:rsidRDefault="002E707C" w:rsidP="002E707C">
      <w:pPr>
        <w:spacing w:after="120" w:line="240" w:lineRule="auto"/>
        <w:ind w:firstLine="709"/>
        <w:jc w:val="both"/>
        <w:rPr>
          <w:rFonts w:ascii="Calibri" w:hAnsi="Calibri" w:cs="Calibri"/>
          <w:color w:val="auto"/>
          <w:sz w:val="22"/>
          <w:szCs w:val="22"/>
          <w:lang w:val="lv-LV"/>
        </w:rPr>
      </w:pPr>
      <w:r w:rsidRPr="00580E74">
        <w:rPr>
          <w:rFonts w:ascii="Calibri" w:hAnsi="Calibri" w:cs="Calibri"/>
          <w:color w:val="auto"/>
          <w:sz w:val="22"/>
          <w:szCs w:val="22"/>
          <w:lang w:val="lv-LV"/>
        </w:rPr>
        <w:t xml:space="preserve">VDzTI pārbauda komersantu komisijas locekļu un tādu atbildīgo personu, kas veic komersanta dzelzceļa speciālistu zināšanu pārbaudi, atbilstību kvalifikācijas prasībām. Teorētiskais eksāmens tiek organizēts, lai dzelzceļa darbībā iesaistītie dzelzceļa speciālisti garantētu dzelzceļa drošu ekspluatāciju, </w:t>
      </w:r>
      <w:r w:rsidRPr="00580E74">
        <w:rPr>
          <w:rFonts w:ascii="Calibri" w:hAnsi="Calibri" w:cs="Calibri"/>
          <w:color w:val="auto"/>
          <w:sz w:val="22"/>
          <w:szCs w:val="22"/>
          <w:lang w:val="lv-LV"/>
        </w:rPr>
        <w:lastRenderedPageBreak/>
        <w:t xml:space="preserve">satiksmes drošību un darba organizāciju. Teorētisko eksāmenu nozīmē pēc komersanta iesnieguma saņemšanas. </w:t>
      </w:r>
    </w:p>
    <w:p w:rsidR="00A24612" w:rsidRDefault="00A24612" w:rsidP="00A24612">
      <w:pPr>
        <w:spacing w:after="120" w:line="240" w:lineRule="auto"/>
        <w:jc w:val="both"/>
        <w:rPr>
          <w:rFonts w:ascii="Calibri" w:hAnsi="Calibri" w:cs="Calibri"/>
          <w:color w:val="auto"/>
          <w:sz w:val="22"/>
          <w:szCs w:val="22"/>
          <w:lang w:val="lv-LV"/>
        </w:rPr>
      </w:pPr>
      <w:r>
        <w:rPr>
          <w:noProof/>
          <w:lang w:val="lv-LV" w:eastAsia="lv-LV"/>
        </w:rPr>
        <w:drawing>
          <wp:inline distT="0" distB="0" distL="0" distR="0" wp14:anchorId="7F28CFF2" wp14:editId="35EC6010">
            <wp:extent cx="6057900" cy="2257425"/>
            <wp:effectExtent l="0" t="0" r="0" b="9525"/>
            <wp:docPr id="24" name="Chart 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E707C" w:rsidRPr="00580E74" w:rsidRDefault="00A24612" w:rsidP="002E707C">
      <w:pPr>
        <w:spacing w:after="120" w:line="240" w:lineRule="auto"/>
        <w:ind w:firstLine="709"/>
        <w:jc w:val="both"/>
        <w:rPr>
          <w:rFonts w:ascii="Calibri" w:hAnsi="Calibri" w:cs="Calibri"/>
          <w:iCs/>
          <w:color w:val="auto"/>
          <w:sz w:val="22"/>
          <w:szCs w:val="22"/>
          <w:lang w:val="lv-LV"/>
        </w:rPr>
      </w:pPr>
      <w:r>
        <w:rPr>
          <w:rFonts w:ascii="Calibri" w:hAnsi="Calibri" w:cs="Calibri"/>
          <w:color w:val="auto"/>
          <w:sz w:val="22"/>
          <w:szCs w:val="22"/>
          <w:lang w:val="lv-LV"/>
        </w:rPr>
        <w:t>VDzTI 2019.gadā ir organizējusi 419</w:t>
      </w:r>
      <w:r w:rsidR="002E707C" w:rsidRPr="00580E74">
        <w:rPr>
          <w:rFonts w:ascii="Calibri" w:hAnsi="Calibri" w:cs="Calibri"/>
          <w:color w:val="auto"/>
          <w:sz w:val="22"/>
          <w:szCs w:val="22"/>
          <w:lang w:val="lv-LV"/>
        </w:rPr>
        <w:t xml:space="preserve"> teorētiskos eksāmenus, kur </w:t>
      </w:r>
      <w:r>
        <w:rPr>
          <w:rFonts w:ascii="Calibri" w:hAnsi="Calibri" w:cs="Calibri"/>
          <w:color w:val="auto"/>
          <w:sz w:val="22"/>
          <w:szCs w:val="22"/>
          <w:lang w:val="lv-LV"/>
        </w:rPr>
        <w:t>39</w:t>
      </w:r>
      <w:r w:rsidR="002E707C" w:rsidRPr="00580E74">
        <w:rPr>
          <w:rFonts w:ascii="Calibri" w:hAnsi="Calibri" w:cs="Calibri"/>
          <w:color w:val="auto"/>
          <w:sz w:val="22"/>
          <w:szCs w:val="22"/>
          <w:lang w:val="lv-LV"/>
        </w:rPr>
        <w:t>% dzelzceļa speciālistiem ir piešķirtas tiesības - 1</w:t>
      </w:r>
      <w:r>
        <w:rPr>
          <w:rFonts w:ascii="Calibri" w:hAnsi="Calibri" w:cs="Calibri"/>
          <w:color w:val="auto"/>
          <w:sz w:val="22"/>
          <w:szCs w:val="22"/>
          <w:lang w:val="lv-LV"/>
        </w:rPr>
        <w:t>64</w:t>
      </w:r>
      <w:r w:rsidR="002E707C" w:rsidRPr="00580E74">
        <w:rPr>
          <w:rFonts w:ascii="Calibri" w:hAnsi="Calibri" w:cs="Calibri"/>
          <w:color w:val="auto"/>
          <w:sz w:val="22"/>
          <w:szCs w:val="22"/>
          <w:lang w:val="lv-LV"/>
        </w:rPr>
        <w:t xml:space="preserve"> atbildīgajām personām ir tiesības  veikt dzelzceļa speciālistu zināšanu pārbaudi.  Teorētisko eksāmenu dzelzceļa speciālisti kārto ik pēc trīs gadiem. </w:t>
      </w:r>
      <w:r>
        <w:rPr>
          <w:rFonts w:ascii="Calibri" w:hAnsi="Calibri" w:cs="Calibri"/>
          <w:color w:val="auto"/>
          <w:sz w:val="22"/>
          <w:szCs w:val="22"/>
          <w:lang w:val="lv-LV"/>
        </w:rPr>
        <w:t xml:space="preserve">VDzTI eksamināciju veic ar programmnodrošinājuma palīdzību.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E707C" w:rsidRPr="00FF6BC6" w:rsidTr="00A24612">
        <w:tc>
          <w:tcPr>
            <w:tcW w:w="576" w:type="dxa"/>
            <w:shd w:val="clear" w:color="auto" w:fill="D9D9D9" w:themeFill="background1" w:themeFillShade="D9"/>
          </w:tcPr>
          <w:p w:rsidR="002E707C" w:rsidRPr="00580E74" w:rsidRDefault="00A24612" w:rsidP="00C523FD">
            <w:pPr>
              <w:spacing w:after="240"/>
              <w:jc w:val="both"/>
              <w:rPr>
                <w:rFonts w:ascii="Calibri" w:hAnsi="Calibri" w:cs="Calibri"/>
                <w:color w:val="auto"/>
                <w:sz w:val="22"/>
                <w:lang w:val="lv-LV"/>
              </w:rPr>
            </w:pPr>
            <w:r w:rsidRPr="006006BD">
              <w:rPr>
                <w:rFonts w:cstheme="minorHAnsi"/>
                <w:b/>
                <w:bCs/>
                <w:color w:val="FF0000"/>
                <w:sz w:val="44"/>
                <w:szCs w:val="22"/>
                <w:lang w:val="lv-LV"/>
              </w:rPr>
              <w:t>!</w:t>
            </w:r>
          </w:p>
        </w:tc>
        <w:tc>
          <w:tcPr>
            <w:tcW w:w="9062" w:type="dxa"/>
            <w:shd w:val="clear" w:color="auto" w:fill="D9D9D9" w:themeFill="background1" w:themeFillShade="D9"/>
          </w:tcPr>
          <w:p w:rsidR="002E707C" w:rsidRPr="00A24612" w:rsidRDefault="002E707C" w:rsidP="00B75841">
            <w:pPr>
              <w:pStyle w:val="NormalWeb"/>
              <w:spacing w:before="0" w:beforeAutospacing="0" w:after="120" w:afterAutospacing="0"/>
              <w:rPr>
                <w:rFonts w:ascii="Calibri" w:hAnsi="Calibri" w:cs="Calibri"/>
                <w:i/>
                <w:iCs/>
                <w:sz w:val="22"/>
                <w:szCs w:val="22"/>
                <w:lang w:val="lv-LV"/>
              </w:rPr>
            </w:pPr>
            <w:r w:rsidRPr="00B75841">
              <w:rPr>
                <w:rFonts w:ascii="Calibri" w:hAnsi="Calibri" w:cs="Calibri"/>
                <w:b/>
                <w:sz w:val="22"/>
                <w:szCs w:val="22"/>
                <w:lang w:val="lv-LV"/>
              </w:rPr>
              <w:t xml:space="preserve">Tā kā teorētiskais eksāmens tiek veikts ar programnodrošinājuma palīdzību un, lai veicinātu zināšanu apguvi, VDzTI tīmekļa vietnē ir sagatavojusi informāciju, kurā tiek norādīts nepieciešamo zināšanu apjoms dzelzceļa speciālistiem, kas darbojas konkrētās jomās. </w:t>
            </w:r>
          </w:p>
        </w:tc>
      </w:tr>
    </w:tbl>
    <w:p w:rsidR="002E707C" w:rsidRPr="00D41F65" w:rsidRDefault="002E707C" w:rsidP="00D41F65">
      <w:pPr>
        <w:pStyle w:val="Heading1"/>
        <w:pBdr>
          <w:bottom w:val="single" w:sz="4" w:space="0" w:color="auto"/>
        </w:pBdr>
        <w:spacing w:before="240"/>
        <w:ind w:left="709"/>
        <w:rPr>
          <w:rFonts w:ascii="Calibri" w:hAnsi="Calibri" w:cs="Calibri"/>
          <w:b/>
          <w:color w:val="auto"/>
          <w:sz w:val="24"/>
          <w:szCs w:val="24"/>
          <w:lang w:val="lv-LV"/>
        </w:rPr>
      </w:pPr>
      <w:bookmarkStart w:id="46" w:name="_Toc43198284"/>
      <w:bookmarkStart w:id="47" w:name="_Toc51146318"/>
      <w:r w:rsidRPr="00D41F65">
        <w:rPr>
          <w:rFonts w:ascii="Calibri" w:hAnsi="Calibri" w:cs="Calibri"/>
          <w:b/>
          <w:color w:val="auto"/>
          <w:sz w:val="24"/>
          <w:szCs w:val="24"/>
          <w:lang w:val="lv-LV"/>
        </w:rPr>
        <w:t>Bīstamo kravu konsultantu (padomnieku) darbība</w:t>
      </w:r>
      <w:bookmarkEnd w:id="46"/>
      <w:bookmarkEnd w:id="47"/>
      <w:r w:rsidRPr="00D41F65">
        <w:rPr>
          <w:rFonts w:ascii="Calibri" w:hAnsi="Calibri" w:cs="Calibri"/>
          <w:b/>
          <w:color w:val="auto"/>
          <w:sz w:val="24"/>
          <w:szCs w:val="24"/>
          <w:lang w:val="lv-LV"/>
        </w:rPr>
        <w:t xml:space="preserve"> </w:t>
      </w:r>
    </w:p>
    <w:p w:rsidR="002E707C" w:rsidRPr="00580E74" w:rsidRDefault="002E707C" w:rsidP="002E707C">
      <w:pPr>
        <w:tabs>
          <w:tab w:val="num" w:pos="0"/>
        </w:tabs>
        <w:spacing w:after="120" w:line="240" w:lineRule="auto"/>
        <w:ind w:firstLine="720"/>
        <w:jc w:val="both"/>
        <w:rPr>
          <w:rFonts w:ascii="Calibri" w:hAnsi="Calibri" w:cs="Calibri"/>
          <w:color w:val="auto"/>
          <w:spacing w:val="-6"/>
          <w:sz w:val="22"/>
          <w:szCs w:val="22"/>
          <w:lang w:val="lv-LV"/>
        </w:rPr>
      </w:pPr>
      <w:r w:rsidRPr="00580E74">
        <w:rPr>
          <w:rFonts w:ascii="Calibri" w:hAnsi="Calibri" w:cs="Calibri"/>
          <w:color w:val="auto"/>
          <w:sz w:val="22"/>
          <w:szCs w:val="22"/>
          <w:lang w:val="lv-LV"/>
        </w:rPr>
        <w:t>2006.gada 21.februāra Ministru kabineta noteikumi Nr. 156 „</w:t>
      </w:r>
      <w:hyperlink r:id="rId39" w:history="1">
        <w:r w:rsidRPr="00580E74">
          <w:rPr>
            <w:rStyle w:val="Hyperlink"/>
            <w:rFonts w:ascii="Calibri" w:hAnsi="Calibri" w:cs="Calibri"/>
            <w:color w:val="auto"/>
            <w:sz w:val="22"/>
            <w:szCs w:val="22"/>
            <w:lang w:val="lv-LV"/>
          </w:rPr>
          <w:t>Noteikumi par drošības konsultantu (padomnieku) norīkošanu, to profesionālo kvalifikāciju un darbību bīstamo kravu pārvadājumu jomā</w:t>
        </w:r>
      </w:hyperlink>
      <w:r w:rsidRPr="00580E74">
        <w:rPr>
          <w:rFonts w:ascii="Calibri" w:hAnsi="Calibri" w:cs="Calibri"/>
          <w:color w:val="auto"/>
          <w:sz w:val="22"/>
          <w:szCs w:val="22"/>
          <w:lang w:val="lv-LV"/>
        </w:rPr>
        <w:t xml:space="preserve">” nosaka VDzTI uzdevumus attiecībā uz bīstamo kravu pārvadājumu drošības konsultantu (padomnieku) kvalifikācijas iegūšanu un darbības uzraudzības sistēmas izveidi. </w:t>
      </w:r>
      <w:r w:rsidRPr="00580E74">
        <w:rPr>
          <w:rFonts w:ascii="Calibri" w:hAnsi="Calibri" w:cs="Calibri"/>
          <w:color w:val="auto"/>
          <w:spacing w:val="-6"/>
          <w:sz w:val="22"/>
          <w:szCs w:val="22"/>
          <w:lang w:val="lv-LV"/>
        </w:rPr>
        <w:t xml:space="preserve">VDzTI nodrošina komercsabiedrību pārbaudes (mērķa pārbaudes (skatīt 3.4.1. apakšnodaļu)), uzrauga drošības konsultantu darbību, kā arī </w:t>
      </w:r>
      <w:r w:rsidRPr="00580E74">
        <w:rPr>
          <w:rFonts w:ascii="Calibri" w:hAnsi="Calibri" w:cs="Calibri"/>
          <w:color w:val="auto"/>
          <w:sz w:val="22"/>
          <w:szCs w:val="22"/>
          <w:lang w:val="lv-LV"/>
        </w:rPr>
        <w:t>eksaminācijas darbību</w:t>
      </w:r>
      <w:r w:rsidRPr="00580E74">
        <w:rPr>
          <w:rFonts w:ascii="Calibri" w:hAnsi="Calibri" w:cs="Calibri"/>
          <w:color w:val="auto"/>
          <w:spacing w:val="-6"/>
          <w:sz w:val="22"/>
          <w:szCs w:val="22"/>
          <w:lang w:val="lv-LV"/>
        </w:rPr>
        <w:t xml:space="preserve">. </w:t>
      </w:r>
    </w:p>
    <w:p w:rsidR="002E707C" w:rsidRPr="00580E74" w:rsidRDefault="0080389B" w:rsidP="002E707C">
      <w:pPr>
        <w:tabs>
          <w:tab w:val="num" w:pos="0"/>
        </w:tabs>
        <w:spacing w:after="120" w:line="240" w:lineRule="auto"/>
        <w:ind w:firstLine="720"/>
        <w:jc w:val="both"/>
        <w:rPr>
          <w:rFonts w:ascii="Calibri" w:hAnsi="Calibri" w:cs="Calibri"/>
          <w:color w:val="auto"/>
          <w:spacing w:val="-6"/>
          <w:sz w:val="22"/>
          <w:szCs w:val="22"/>
          <w:lang w:val="lv-LV"/>
        </w:rPr>
      </w:pPr>
      <w:r>
        <w:rPr>
          <w:noProof/>
          <w:lang w:val="lv-LV" w:eastAsia="lv-LV"/>
        </w:rPr>
        <w:drawing>
          <wp:anchor distT="0" distB="0" distL="114300" distR="114300" simplePos="0" relativeHeight="251676672" behindDoc="0" locked="0" layoutInCell="1" allowOverlap="1">
            <wp:simplePos x="0" y="0"/>
            <wp:positionH relativeFrom="margin">
              <wp:align>left</wp:align>
            </wp:positionH>
            <wp:positionV relativeFrom="paragraph">
              <wp:posOffset>609600</wp:posOffset>
            </wp:positionV>
            <wp:extent cx="6086475" cy="1847850"/>
            <wp:effectExtent l="0" t="0" r="9525" b="0"/>
            <wp:wrapSquare wrapText="bothSides"/>
            <wp:docPr id="25" name="Chart 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002E707C" w:rsidRPr="00580E74">
        <w:rPr>
          <w:rFonts w:ascii="Calibri" w:hAnsi="Calibri" w:cs="Calibri"/>
          <w:color w:val="auto"/>
          <w:sz w:val="22"/>
          <w:szCs w:val="22"/>
          <w:lang w:val="lv-LV"/>
        </w:rPr>
        <w:t>Drošības konsultants (padomnieks) uzrauga un regulāri pārbauda komersanta darbības atbilstību bīstamo kravu pārvadājumu regulējošiem aktiem. Tiesības veikt drošības konsultanta (padomnieka) pienākumus apliecina attiecīgs profesionālās k</w:t>
      </w:r>
      <w:r w:rsidR="008430E7">
        <w:rPr>
          <w:rFonts w:ascii="Calibri" w:hAnsi="Calibri" w:cs="Calibri"/>
          <w:color w:val="auto"/>
          <w:sz w:val="22"/>
          <w:szCs w:val="22"/>
          <w:lang w:val="lv-LV"/>
        </w:rPr>
        <w:t>ompetences</w:t>
      </w:r>
      <w:r w:rsidR="002E707C" w:rsidRPr="00580E74">
        <w:rPr>
          <w:rFonts w:ascii="Calibri" w:hAnsi="Calibri" w:cs="Calibri"/>
          <w:color w:val="auto"/>
          <w:sz w:val="22"/>
          <w:szCs w:val="22"/>
          <w:lang w:val="lv-LV"/>
        </w:rPr>
        <w:t xml:space="preserve"> sertifikāts.</w:t>
      </w:r>
      <w:r w:rsidR="002E707C" w:rsidRPr="00580E74">
        <w:rPr>
          <w:rFonts w:ascii="Calibri" w:hAnsi="Calibri" w:cs="Calibri"/>
          <w:color w:val="auto"/>
          <w:spacing w:val="-6"/>
          <w:sz w:val="22"/>
          <w:szCs w:val="22"/>
          <w:lang w:val="lv-LV"/>
        </w:rPr>
        <w:t xml:space="preserve">  </w:t>
      </w:r>
    </w:p>
    <w:p w:rsidR="0080389B" w:rsidRDefault="0080389B" w:rsidP="0080389B">
      <w:pPr>
        <w:tabs>
          <w:tab w:val="num" w:pos="0"/>
        </w:tabs>
        <w:spacing w:after="0" w:line="240" w:lineRule="auto"/>
        <w:jc w:val="both"/>
        <w:rPr>
          <w:rFonts w:ascii="Calibri" w:hAnsi="Calibri" w:cs="Calibri"/>
          <w:color w:val="auto"/>
          <w:spacing w:val="-6"/>
          <w:sz w:val="22"/>
          <w:szCs w:val="22"/>
          <w:lang w:val="lv-LV"/>
        </w:rPr>
      </w:pPr>
    </w:p>
    <w:p w:rsidR="002E707C" w:rsidRDefault="0080389B" w:rsidP="0080389B">
      <w:pPr>
        <w:tabs>
          <w:tab w:val="num" w:pos="0"/>
        </w:tabs>
        <w:spacing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r>
      <w:r w:rsidR="002E707C" w:rsidRPr="00580E74">
        <w:rPr>
          <w:rFonts w:ascii="Calibri" w:hAnsi="Calibri" w:cs="Calibri"/>
          <w:color w:val="auto"/>
          <w:spacing w:val="-6"/>
          <w:sz w:val="22"/>
          <w:szCs w:val="22"/>
          <w:lang w:val="lv-LV"/>
        </w:rPr>
        <w:t>VDzTI 201</w:t>
      </w:r>
      <w:r>
        <w:rPr>
          <w:rFonts w:ascii="Calibri" w:hAnsi="Calibri" w:cs="Calibri"/>
          <w:color w:val="auto"/>
          <w:spacing w:val="-6"/>
          <w:sz w:val="22"/>
          <w:szCs w:val="22"/>
          <w:lang w:val="lv-LV"/>
        </w:rPr>
        <w:t>9</w:t>
      </w:r>
      <w:r w:rsidR="002E707C" w:rsidRPr="00580E74">
        <w:rPr>
          <w:rFonts w:ascii="Calibri" w:hAnsi="Calibri" w:cs="Calibri"/>
          <w:color w:val="auto"/>
          <w:spacing w:val="-6"/>
          <w:sz w:val="22"/>
          <w:szCs w:val="22"/>
          <w:lang w:val="lv-LV"/>
        </w:rPr>
        <w:t xml:space="preserve">.gadā organizēja </w:t>
      </w:r>
      <w:r>
        <w:rPr>
          <w:rFonts w:ascii="Calibri" w:hAnsi="Calibri" w:cs="Calibri"/>
          <w:color w:val="auto"/>
          <w:spacing w:val="-6"/>
          <w:sz w:val="22"/>
          <w:szCs w:val="22"/>
          <w:lang w:val="lv-LV"/>
        </w:rPr>
        <w:t>34</w:t>
      </w:r>
      <w:r w:rsidR="002E707C" w:rsidRPr="00580E74">
        <w:rPr>
          <w:rFonts w:ascii="Calibri" w:hAnsi="Calibri" w:cs="Calibri"/>
          <w:color w:val="auto"/>
          <w:spacing w:val="-6"/>
          <w:sz w:val="22"/>
          <w:szCs w:val="22"/>
          <w:lang w:val="lv-LV"/>
        </w:rPr>
        <w:t xml:space="preserve"> pārbaudes. 3</w:t>
      </w:r>
      <w:r>
        <w:rPr>
          <w:rFonts w:ascii="Calibri" w:hAnsi="Calibri" w:cs="Calibri"/>
          <w:color w:val="auto"/>
          <w:spacing w:val="-6"/>
          <w:sz w:val="22"/>
          <w:szCs w:val="22"/>
          <w:lang w:val="lv-LV"/>
        </w:rPr>
        <w:t>0 drošības konsultanti</w:t>
      </w:r>
      <w:r w:rsidR="002E707C" w:rsidRPr="00580E74">
        <w:rPr>
          <w:rFonts w:ascii="Calibri" w:hAnsi="Calibri" w:cs="Calibri"/>
          <w:color w:val="auto"/>
          <w:spacing w:val="-6"/>
          <w:sz w:val="22"/>
          <w:szCs w:val="22"/>
          <w:lang w:val="lv-LV"/>
        </w:rPr>
        <w:t xml:space="preserve"> (padomniek</w:t>
      </w:r>
      <w:r>
        <w:rPr>
          <w:rFonts w:ascii="Calibri" w:hAnsi="Calibri" w:cs="Calibri"/>
          <w:color w:val="auto"/>
          <w:spacing w:val="-6"/>
          <w:sz w:val="22"/>
          <w:szCs w:val="22"/>
          <w:lang w:val="lv-LV"/>
        </w:rPr>
        <w:t>i</w:t>
      </w:r>
      <w:r w:rsidR="002E707C" w:rsidRPr="00580E74">
        <w:rPr>
          <w:rFonts w:ascii="Calibri" w:hAnsi="Calibri" w:cs="Calibri"/>
          <w:color w:val="auto"/>
          <w:spacing w:val="-6"/>
          <w:sz w:val="22"/>
          <w:szCs w:val="22"/>
          <w:lang w:val="lv-LV"/>
        </w:rPr>
        <w:t xml:space="preserve">) </w:t>
      </w:r>
      <w:r w:rsidR="00BB62B2">
        <w:rPr>
          <w:rFonts w:ascii="Calibri" w:hAnsi="Calibri" w:cs="Calibri"/>
          <w:color w:val="auto"/>
          <w:spacing w:val="-6"/>
          <w:sz w:val="22"/>
          <w:szCs w:val="22"/>
          <w:lang w:val="lv-LV"/>
        </w:rPr>
        <w:t xml:space="preserve">nokārtoja kvalifikācijas pārbaudījumus un saņēma </w:t>
      </w:r>
      <w:r w:rsidR="002E707C" w:rsidRPr="00580E74">
        <w:rPr>
          <w:rFonts w:ascii="Calibri" w:hAnsi="Calibri" w:cs="Calibri"/>
          <w:color w:val="auto"/>
          <w:spacing w:val="-6"/>
          <w:sz w:val="22"/>
          <w:szCs w:val="22"/>
          <w:lang w:val="lv-LV"/>
        </w:rPr>
        <w:t>profesionālās k</w:t>
      </w:r>
      <w:r w:rsidR="008430E7">
        <w:rPr>
          <w:rFonts w:ascii="Calibri" w:hAnsi="Calibri" w:cs="Calibri"/>
          <w:color w:val="auto"/>
          <w:spacing w:val="-6"/>
          <w:sz w:val="22"/>
          <w:szCs w:val="22"/>
          <w:lang w:val="lv-LV"/>
        </w:rPr>
        <w:t>ompetences</w:t>
      </w:r>
      <w:r w:rsidR="002E707C" w:rsidRPr="00580E74">
        <w:rPr>
          <w:rFonts w:ascii="Calibri" w:hAnsi="Calibri" w:cs="Calibri"/>
          <w:color w:val="auto"/>
          <w:spacing w:val="-6"/>
          <w:sz w:val="22"/>
          <w:szCs w:val="22"/>
          <w:lang w:val="lv-LV"/>
        </w:rPr>
        <w:t xml:space="preserve"> sertifikātus.  Vidēji gadā sertifikāti tiek piešķirti 26,85 personām.</w:t>
      </w:r>
      <w:r w:rsidR="00E83E3A">
        <w:rPr>
          <w:rFonts w:ascii="Calibri" w:hAnsi="Calibri" w:cs="Calibri"/>
          <w:color w:val="auto"/>
          <w:spacing w:val="-6"/>
          <w:sz w:val="22"/>
          <w:szCs w:val="22"/>
          <w:lang w:val="lv-LV"/>
        </w:rPr>
        <w:t xml:space="preserve">  Izvērtējot rezultātus</w:t>
      </w:r>
      <w:r w:rsidR="002E707C" w:rsidRPr="00580E74">
        <w:rPr>
          <w:rFonts w:ascii="Calibri" w:hAnsi="Calibri" w:cs="Calibri"/>
          <w:color w:val="auto"/>
          <w:spacing w:val="-6"/>
          <w:sz w:val="22"/>
          <w:szCs w:val="22"/>
          <w:lang w:val="lv-LV"/>
        </w:rPr>
        <w:t xml:space="preserve">  86% </w:t>
      </w:r>
      <w:r w:rsidR="00E83E3A">
        <w:rPr>
          <w:rFonts w:ascii="Calibri" w:hAnsi="Calibri" w:cs="Calibri"/>
          <w:color w:val="auto"/>
          <w:spacing w:val="-6"/>
          <w:sz w:val="22"/>
          <w:szCs w:val="22"/>
          <w:lang w:val="lv-LV"/>
        </w:rPr>
        <w:t>pretendentu saņem</w:t>
      </w:r>
      <w:r w:rsidR="002E707C" w:rsidRPr="00580E74">
        <w:rPr>
          <w:rFonts w:ascii="Calibri" w:hAnsi="Calibri" w:cs="Calibri"/>
          <w:color w:val="auto"/>
          <w:spacing w:val="-6"/>
          <w:sz w:val="22"/>
          <w:szCs w:val="22"/>
          <w:lang w:val="lv-LV"/>
        </w:rPr>
        <w:t xml:space="preserve"> serti</w:t>
      </w:r>
      <w:r w:rsidR="00E83E3A">
        <w:rPr>
          <w:rFonts w:ascii="Calibri" w:hAnsi="Calibri" w:cs="Calibri"/>
          <w:color w:val="auto"/>
          <w:spacing w:val="-6"/>
          <w:sz w:val="22"/>
          <w:szCs w:val="22"/>
          <w:lang w:val="lv-LV"/>
        </w:rPr>
        <w:t>fikātus</w:t>
      </w:r>
      <w:r w:rsidR="002E707C" w:rsidRPr="00580E74">
        <w:rPr>
          <w:rFonts w:ascii="Calibri" w:hAnsi="Calibri" w:cs="Calibri"/>
          <w:color w:val="auto"/>
          <w:spacing w:val="-6"/>
          <w:sz w:val="22"/>
          <w:szCs w:val="22"/>
          <w:lang w:val="lv-LV"/>
        </w:rPr>
        <w:t xml:space="preserve">.. </w:t>
      </w:r>
    </w:p>
    <w:p w:rsidR="0080389B" w:rsidRPr="00757033" w:rsidRDefault="0080389B" w:rsidP="0080389B">
      <w:pPr>
        <w:tabs>
          <w:tab w:val="num" w:pos="0"/>
        </w:tabs>
        <w:spacing w:after="0" w:line="240" w:lineRule="auto"/>
        <w:jc w:val="both"/>
        <w:rPr>
          <w:rFonts w:cstheme="minorHAnsi"/>
          <w:color w:val="auto"/>
          <w:spacing w:val="-6"/>
          <w:sz w:val="22"/>
          <w:szCs w:val="22"/>
          <w:lang w:val="lv-LV"/>
        </w:rPr>
      </w:pPr>
    </w:p>
    <w:p w:rsidR="006909A6" w:rsidRPr="006909A6" w:rsidRDefault="006909A6" w:rsidP="006909A6">
      <w:pPr>
        <w:pStyle w:val="Heading1"/>
        <w:pBdr>
          <w:bottom w:val="single" w:sz="4" w:space="0" w:color="auto"/>
        </w:pBdr>
        <w:ind w:left="709"/>
        <w:rPr>
          <w:rFonts w:ascii="Calibri" w:hAnsi="Calibri" w:cs="Calibri"/>
          <w:b/>
          <w:color w:val="auto"/>
          <w:sz w:val="24"/>
          <w:lang w:val="lv-LV"/>
        </w:rPr>
      </w:pPr>
      <w:bookmarkStart w:id="48" w:name="_Toc19108625"/>
      <w:bookmarkStart w:id="49" w:name="_Toc51146319"/>
      <w:r w:rsidRPr="006909A6">
        <w:rPr>
          <w:rFonts w:ascii="Calibri" w:hAnsi="Calibri" w:cs="Calibri"/>
          <w:b/>
          <w:color w:val="auto"/>
          <w:sz w:val="24"/>
          <w:lang w:val="lv-LV"/>
        </w:rPr>
        <w:lastRenderedPageBreak/>
        <w:t>Riska novērtēšana</w:t>
      </w:r>
      <w:bookmarkEnd w:id="48"/>
      <w:bookmarkEnd w:id="49"/>
    </w:p>
    <w:p w:rsidR="006909A6" w:rsidRPr="001863D4" w:rsidRDefault="00B75841" w:rsidP="006909A6">
      <w:pPr>
        <w:spacing w:before="120" w:after="120" w:line="240" w:lineRule="auto"/>
        <w:ind w:firstLine="720"/>
        <w:jc w:val="both"/>
        <w:rPr>
          <w:rFonts w:ascii="Calibri" w:hAnsi="Calibri" w:cs="Calibri"/>
          <w:color w:val="auto"/>
          <w:sz w:val="22"/>
          <w:szCs w:val="22"/>
          <w:lang w:val="lv-LV"/>
        </w:rPr>
      </w:pPr>
      <w:r>
        <w:rPr>
          <w:rFonts w:ascii="Calibri" w:hAnsi="Calibri" w:cs="Calibri"/>
          <w:color w:val="auto"/>
          <w:spacing w:val="-6"/>
          <w:sz w:val="22"/>
          <w:szCs w:val="22"/>
          <w:lang w:val="lv-LV"/>
        </w:rPr>
        <w:t>Latvijā r</w:t>
      </w:r>
      <w:r w:rsidR="006909A6" w:rsidRPr="004E1ACF">
        <w:rPr>
          <w:rFonts w:ascii="Calibri" w:hAnsi="Calibri" w:cs="Calibri"/>
          <w:color w:val="auto"/>
          <w:spacing w:val="-6"/>
          <w:sz w:val="22"/>
          <w:szCs w:val="22"/>
          <w:lang w:val="lv-LV"/>
        </w:rPr>
        <w:t xml:space="preserve">iska novērtēšanas un pārvaldības procesā piemēro Komisijas 2013.gada 30.aprīļa Īstenošanas Regulas (ES) Nr.402/2013 par kopīgo drošības metodi riska noteikšanai un novērtēšanai un par Regulas (EK) Nr.352/2009 atcelšanu (turpmāk – Regula Nr.402/2013). </w:t>
      </w:r>
      <w:r w:rsidR="008430E7" w:rsidRPr="001863D4">
        <w:rPr>
          <w:rFonts w:ascii="Calibri" w:hAnsi="Calibri" w:cs="Calibri"/>
          <w:color w:val="auto"/>
          <w:spacing w:val="-6"/>
          <w:sz w:val="22"/>
          <w:szCs w:val="22"/>
          <w:lang w:val="lv-LV"/>
        </w:rPr>
        <w:t>2019.gadā p</w:t>
      </w:r>
      <w:r w:rsidR="006909A6" w:rsidRPr="001863D4">
        <w:rPr>
          <w:rFonts w:ascii="Calibri" w:hAnsi="Calibri" w:cs="Calibri"/>
          <w:color w:val="auto"/>
          <w:sz w:val="22"/>
          <w:szCs w:val="22"/>
          <w:lang w:val="lv-LV"/>
        </w:rPr>
        <w:t>ildot Regulas 403/2013 6.panta 3.punkta a) apakšpunktā noteiktās prasības un darbojoties saskaņā ar 402/2013 Regulas 6.panta 4.punkta c) apakšpunktu VDzTI veica būtiskās izmaņas  riska pārvaldības procesa īstenošanas neatkarīgo novērtējumu. 2018.gadā VDzTI veica divu riska pārvaldības procesa īstenošanas neatkarīgos novērtējumus:</w:t>
      </w:r>
    </w:p>
    <w:p w:rsidR="006909A6" w:rsidRPr="001863D4" w:rsidRDefault="00B75841" w:rsidP="00327ABE">
      <w:pPr>
        <w:pStyle w:val="ListParagraph"/>
        <w:numPr>
          <w:ilvl w:val="0"/>
          <w:numId w:val="4"/>
        </w:numPr>
        <w:tabs>
          <w:tab w:val="left" w:pos="993"/>
          <w:tab w:val="left" w:pos="1418"/>
        </w:tabs>
        <w:spacing w:before="120" w:after="120"/>
        <w:ind w:left="0" w:firstLine="780"/>
        <w:jc w:val="both"/>
        <w:rPr>
          <w:rFonts w:ascii="Calibri" w:hAnsi="Calibri" w:cs="Calibri"/>
          <w:sz w:val="22"/>
          <w:szCs w:val="22"/>
        </w:rPr>
      </w:pPr>
      <w:r w:rsidRPr="001863D4">
        <w:rPr>
          <w:rFonts w:ascii="Calibri" w:hAnsi="Calibri" w:cs="Calibri"/>
          <w:sz w:val="22"/>
          <w:szCs w:val="22"/>
        </w:rPr>
        <w:t>plānotajai kravu pārvadājumu uzsākšanai uz/no Lietuvas sadarbībā ar UAB “LGC Cargo”</w:t>
      </w:r>
      <w:r w:rsidR="006909A6" w:rsidRPr="001863D4">
        <w:rPr>
          <w:rFonts w:ascii="Calibri" w:hAnsi="Calibri" w:cs="Calibri"/>
          <w:sz w:val="22"/>
          <w:szCs w:val="22"/>
        </w:rPr>
        <w:t xml:space="preserve">. </w:t>
      </w:r>
      <w:r w:rsidRPr="001863D4">
        <w:rPr>
          <w:rFonts w:ascii="Calibri" w:hAnsi="Calibri" w:cs="Calibri"/>
          <w:sz w:val="22"/>
          <w:szCs w:val="22"/>
        </w:rPr>
        <w:t>Novērtējuma gaitā tika konstatēts, ka riska pārvaldības procesa atbilstība Regulas Nr.402/2013 prasībām var tikt nodrošināta izpildot novērtēšanas iestādes norādījumus un ieteikumus</w:t>
      </w:r>
      <w:r w:rsidR="006909A6" w:rsidRPr="001863D4">
        <w:rPr>
          <w:rFonts w:ascii="Calibri" w:hAnsi="Calibri" w:cs="Calibri"/>
          <w:sz w:val="22"/>
          <w:szCs w:val="22"/>
        </w:rPr>
        <w:t>;</w:t>
      </w:r>
    </w:p>
    <w:p w:rsidR="006909A6" w:rsidRPr="001863D4" w:rsidRDefault="00B75841" w:rsidP="00B75841">
      <w:pPr>
        <w:pStyle w:val="ListParagraph"/>
        <w:numPr>
          <w:ilvl w:val="0"/>
          <w:numId w:val="4"/>
        </w:numPr>
        <w:tabs>
          <w:tab w:val="left" w:pos="993"/>
        </w:tabs>
        <w:spacing w:before="120" w:after="120"/>
        <w:ind w:left="0" w:firstLine="780"/>
        <w:jc w:val="both"/>
        <w:rPr>
          <w:rFonts w:ascii="Calibri" w:hAnsi="Calibri" w:cs="Calibri"/>
          <w:sz w:val="22"/>
          <w:szCs w:val="22"/>
        </w:rPr>
      </w:pPr>
      <w:r w:rsidRPr="001863D4">
        <w:rPr>
          <w:rFonts w:ascii="Calibri" w:hAnsi="Calibri" w:cs="Calibri"/>
          <w:sz w:val="22"/>
          <w:szCs w:val="22"/>
        </w:rPr>
        <w:t>riska pārvaldības procesa īstenošanas neatkarīgo novērtējumu plānotajai lokomotīvju brigāžu darbinieku un speciālo operāciju veicēju (kravas vilcienu konduktoru un vilcienu sastādītāju) darbspējas pārbaudei bez medicīniskās apskates, uzsākot un pabeidzot braucienu/maiņu AS “Baltijas Ekspresis” Ventspils, Jelgavas un Daugavpils dīzeļlokomotīvju ekspluatācijas daļās</w:t>
      </w:r>
      <w:r w:rsidR="006909A6" w:rsidRPr="001863D4">
        <w:rPr>
          <w:rFonts w:ascii="Calibri" w:hAnsi="Calibri" w:cs="Calibri"/>
          <w:sz w:val="22"/>
          <w:szCs w:val="22"/>
        </w:rPr>
        <w:t xml:space="preserve">. Novērtējuma gaitā tika konstatēts, ka riska pārvaldības procesa atbilstība Regulas Nr.402/2013 prasībām var tikt nodrošināta izpildot novērtēšanas iestādes norādījumus un ieteikumus. </w:t>
      </w:r>
    </w:p>
    <w:p w:rsidR="006909A6" w:rsidRPr="004E1ACF" w:rsidRDefault="006909A6" w:rsidP="006909A6">
      <w:pPr>
        <w:tabs>
          <w:tab w:val="left" w:pos="993"/>
        </w:tabs>
        <w:spacing w:before="120" w:after="120"/>
        <w:jc w:val="both"/>
        <w:rPr>
          <w:rFonts w:ascii="Calibri" w:hAnsi="Calibri" w:cs="Calibri"/>
          <w:color w:val="auto"/>
          <w:sz w:val="22"/>
          <w:szCs w:val="22"/>
          <w:lang w:val="lv-LV"/>
        </w:rPr>
      </w:pPr>
      <w:r w:rsidRPr="001863D4">
        <w:rPr>
          <w:rFonts w:ascii="Calibri" w:hAnsi="Calibri" w:cs="Calibri"/>
          <w:color w:val="auto"/>
          <w:sz w:val="22"/>
          <w:szCs w:val="22"/>
          <w:lang w:val="lv-LV"/>
        </w:rPr>
        <w:t>Riska novērtēšanas procesi tika nodrošināti drošības sertifikācijas laikā.</w:t>
      </w:r>
      <w:r w:rsidRPr="004E1ACF">
        <w:rPr>
          <w:rFonts w:ascii="Calibri" w:hAnsi="Calibri" w:cs="Calibri"/>
          <w:color w:val="auto"/>
          <w:sz w:val="22"/>
          <w:szCs w:val="22"/>
          <w:lang w:val="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6909A6" w:rsidRPr="00FF6BC6" w:rsidTr="001026D9">
        <w:trPr>
          <w:trHeight w:val="557"/>
        </w:trPr>
        <w:tc>
          <w:tcPr>
            <w:tcW w:w="576" w:type="dxa"/>
            <w:shd w:val="clear" w:color="auto" w:fill="D9D9D9" w:themeFill="background1" w:themeFillShade="D9"/>
          </w:tcPr>
          <w:p w:rsidR="006909A6" w:rsidRPr="004E1ACF" w:rsidRDefault="00B75841" w:rsidP="001026D9">
            <w:pPr>
              <w:spacing w:after="0" w:line="240" w:lineRule="auto"/>
              <w:jc w:val="both"/>
              <w:rPr>
                <w:rFonts w:ascii="Calibri" w:hAnsi="Calibri" w:cs="Calibri"/>
                <w:color w:val="auto"/>
                <w:sz w:val="22"/>
                <w:lang w:val="lv-LV"/>
              </w:rPr>
            </w:pPr>
            <w:r w:rsidRPr="006006BD">
              <w:rPr>
                <w:rFonts w:cstheme="minorHAnsi"/>
                <w:b/>
                <w:bCs/>
                <w:color w:val="FF0000"/>
                <w:sz w:val="44"/>
                <w:szCs w:val="22"/>
                <w:lang w:val="lv-LV"/>
              </w:rPr>
              <w:t>!</w:t>
            </w:r>
          </w:p>
        </w:tc>
        <w:tc>
          <w:tcPr>
            <w:tcW w:w="9063" w:type="dxa"/>
            <w:shd w:val="clear" w:color="auto" w:fill="D9D9D9" w:themeFill="background1" w:themeFillShade="D9"/>
          </w:tcPr>
          <w:p w:rsidR="006909A6" w:rsidRPr="004E1ACF" w:rsidRDefault="006909A6" w:rsidP="00327ABE">
            <w:pPr>
              <w:pStyle w:val="BodyText"/>
              <w:tabs>
                <w:tab w:val="left" w:pos="709"/>
              </w:tabs>
              <w:spacing w:after="0"/>
              <w:jc w:val="both"/>
              <w:rPr>
                <w:rFonts w:ascii="Calibri" w:hAnsi="Calibri" w:cs="Calibri"/>
                <w:iCs/>
                <w:sz w:val="22"/>
                <w:szCs w:val="22"/>
              </w:rPr>
            </w:pPr>
            <w:r w:rsidRPr="004E1ACF">
              <w:rPr>
                <w:rFonts w:ascii="Calibri" w:hAnsi="Calibri" w:cs="Calibri"/>
                <w:b/>
                <w:spacing w:val="-6"/>
                <w:sz w:val="22"/>
                <w:szCs w:val="22"/>
              </w:rPr>
              <w:t>Riska noteikšanu un novērtēšanu pielieto visi pārvadātāji un arī publiskās lietošanas dzelzceļa pārvaldītājs</w:t>
            </w:r>
            <w:r w:rsidRPr="004E1ACF">
              <w:rPr>
                <w:rFonts w:ascii="Calibri" w:hAnsi="Calibri" w:cs="Calibri"/>
                <w:spacing w:val="-6"/>
                <w:sz w:val="22"/>
                <w:szCs w:val="22"/>
              </w:rPr>
              <w:t xml:space="preserve">.  </w:t>
            </w:r>
          </w:p>
        </w:tc>
      </w:tr>
    </w:tbl>
    <w:p w:rsidR="006909A6" w:rsidRPr="004E1ACF" w:rsidRDefault="006909A6" w:rsidP="006909A6">
      <w:pPr>
        <w:spacing w:before="120" w:after="120" w:line="240" w:lineRule="auto"/>
        <w:ind w:firstLine="720"/>
        <w:jc w:val="both"/>
        <w:rPr>
          <w:rFonts w:ascii="Calibri" w:hAnsi="Calibri" w:cs="Calibri"/>
          <w:color w:val="auto"/>
          <w:sz w:val="22"/>
          <w:szCs w:val="22"/>
          <w:lang w:val="lv-LV"/>
        </w:rPr>
      </w:pPr>
      <w:r w:rsidRPr="004E1ACF">
        <w:rPr>
          <w:rFonts w:ascii="Calibri" w:hAnsi="Calibri" w:cs="Calibri"/>
          <w:color w:val="auto"/>
          <w:spacing w:val="-6"/>
          <w:sz w:val="22"/>
          <w:szCs w:val="22"/>
          <w:lang w:val="lv-LV"/>
        </w:rPr>
        <w:t xml:space="preserve">Šai sakarā VDzTI 2018.gadā ir atzinusi </w:t>
      </w:r>
      <w:r w:rsidRPr="004E1ACF">
        <w:rPr>
          <w:rFonts w:ascii="Calibri" w:hAnsi="Calibri" w:cs="Calibri"/>
          <w:color w:val="auto"/>
          <w:sz w:val="22"/>
          <w:szCs w:val="22"/>
          <w:lang w:val="lv-LV"/>
        </w:rPr>
        <w:t>VAS “Latvijas dzelzceļš” Tehnisko inspekciju  (publiskās lietošanas dzelzceļa infrastruktūras pārvaldītājs) par neatkarīgo novērtēšanas iestādi Regulas (ES) Nr.402/2013 izpratnē.</w:t>
      </w:r>
    </w:p>
    <w:p w:rsidR="006909A6" w:rsidRPr="004E1ACF" w:rsidRDefault="006909A6" w:rsidP="006909A6">
      <w:pPr>
        <w:spacing w:before="120" w:after="36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201</w:t>
      </w:r>
      <w:r w:rsidR="009140EB">
        <w:rPr>
          <w:rFonts w:ascii="Calibri" w:hAnsi="Calibri" w:cs="Calibri"/>
          <w:color w:val="auto"/>
          <w:sz w:val="22"/>
          <w:szCs w:val="22"/>
          <w:lang w:val="lv-LV"/>
        </w:rPr>
        <w:t>9</w:t>
      </w:r>
      <w:r w:rsidRPr="004E1ACF">
        <w:rPr>
          <w:rFonts w:ascii="Calibri" w:hAnsi="Calibri" w:cs="Calibri"/>
          <w:color w:val="auto"/>
          <w:sz w:val="22"/>
          <w:szCs w:val="22"/>
          <w:lang w:val="lv-LV"/>
        </w:rPr>
        <w:t xml:space="preserve">.gadā VAS “Latvijas dzelzceļš” Tehniskā inspekcija </w:t>
      </w:r>
      <w:r w:rsidR="009140EB">
        <w:rPr>
          <w:rFonts w:ascii="Calibri" w:hAnsi="Calibri" w:cs="Calibri"/>
          <w:color w:val="auto"/>
          <w:sz w:val="22"/>
          <w:szCs w:val="22"/>
          <w:lang w:val="lv-LV"/>
        </w:rPr>
        <w:t>reģistrēja 27</w:t>
      </w:r>
      <w:r w:rsidRPr="004E1ACF">
        <w:rPr>
          <w:rFonts w:ascii="Calibri" w:hAnsi="Calibri" w:cs="Calibri"/>
          <w:color w:val="auto"/>
          <w:sz w:val="22"/>
          <w:szCs w:val="22"/>
          <w:lang w:val="lv-LV"/>
        </w:rPr>
        <w:t xml:space="preserve"> izmaiņas, kur </w:t>
      </w:r>
      <w:r w:rsidR="009140EB">
        <w:rPr>
          <w:rFonts w:ascii="Calibri" w:hAnsi="Calibri" w:cs="Calibri"/>
          <w:color w:val="auto"/>
          <w:sz w:val="22"/>
          <w:szCs w:val="22"/>
          <w:lang w:val="lv-LV"/>
        </w:rPr>
        <w:t>20</w:t>
      </w:r>
      <w:r w:rsidRPr="004E1ACF">
        <w:rPr>
          <w:rFonts w:ascii="Calibri" w:hAnsi="Calibri" w:cs="Calibri"/>
          <w:color w:val="auto"/>
          <w:sz w:val="22"/>
          <w:szCs w:val="22"/>
          <w:lang w:val="lv-LV"/>
        </w:rPr>
        <w:t xml:space="preserve"> izmaiņas bija nebūtiskas, </w:t>
      </w:r>
      <w:r w:rsidR="009140EB">
        <w:rPr>
          <w:rFonts w:ascii="Calibri" w:hAnsi="Calibri" w:cs="Calibri"/>
          <w:color w:val="auto"/>
          <w:sz w:val="22"/>
          <w:szCs w:val="22"/>
          <w:lang w:val="lv-LV"/>
        </w:rPr>
        <w:t>7</w:t>
      </w:r>
      <w:r w:rsidRPr="004E1ACF">
        <w:rPr>
          <w:rFonts w:ascii="Calibri" w:hAnsi="Calibri" w:cs="Calibri"/>
          <w:color w:val="auto"/>
          <w:sz w:val="22"/>
          <w:szCs w:val="22"/>
          <w:lang w:val="lv-LV"/>
        </w:rPr>
        <w:t xml:space="preserve"> izmaiņa</w:t>
      </w:r>
      <w:r w:rsidR="009140EB">
        <w:rPr>
          <w:rFonts w:ascii="Calibri" w:hAnsi="Calibri" w:cs="Calibri"/>
          <w:color w:val="auto"/>
          <w:sz w:val="22"/>
          <w:szCs w:val="22"/>
          <w:lang w:val="lv-LV"/>
        </w:rPr>
        <w:t xml:space="preserve">s neietekmēja satiksmes drošību. Pārvadātāji ir piemērojuši riska novērtēšanu vienā gadījumā, kas saistāma ar remonta procesa izmaiņām, taču šī izmaiņa neietekmēja satiksmes drošību.  </w:t>
      </w:r>
    </w:p>
    <w:p w:rsidR="006909A6" w:rsidRPr="008B3629" w:rsidRDefault="006909A6" w:rsidP="008B3629">
      <w:pPr>
        <w:pStyle w:val="Heading1"/>
        <w:pBdr>
          <w:bottom w:val="single" w:sz="4" w:space="0" w:color="auto"/>
        </w:pBdr>
        <w:spacing w:before="240"/>
        <w:ind w:left="709"/>
        <w:rPr>
          <w:rFonts w:ascii="Calibri" w:hAnsi="Calibri" w:cs="Calibri"/>
          <w:b/>
          <w:color w:val="auto"/>
          <w:sz w:val="24"/>
          <w:szCs w:val="28"/>
          <w:lang w:val="lv-LV"/>
        </w:rPr>
      </w:pPr>
      <w:bookmarkStart w:id="50" w:name="_Toc19108626"/>
      <w:bookmarkStart w:id="51" w:name="_Toc51146320"/>
      <w:r w:rsidRPr="008B3629">
        <w:rPr>
          <w:rFonts w:ascii="Calibri" w:hAnsi="Calibri" w:cs="Calibri"/>
          <w:b/>
          <w:color w:val="auto"/>
          <w:sz w:val="24"/>
          <w:szCs w:val="28"/>
          <w:lang w:val="lv-LV"/>
        </w:rPr>
        <w:t>Rail Baltica</w:t>
      </w:r>
      <w:bookmarkEnd w:id="50"/>
      <w:bookmarkEnd w:id="51"/>
    </w:p>
    <w:p w:rsidR="006909A6" w:rsidRPr="004E1ACF" w:rsidRDefault="006909A6" w:rsidP="006909A6">
      <w:pPr>
        <w:tabs>
          <w:tab w:val="num" w:pos="0"/>
        </w:tabs>
        <w:spacing w:before="120" w:after="0" w:line="240" w:lineRule="auto"/>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t>Rail Baltica ir jauns dzelzceļa infrastruktūras projekts, kā mērķis ir integrēt Baltijas valstis Eiropas dzelzceļu tīklā. Projektā piedalās piecas Eiropas Savienības valstis – Polija, Lietuva, Latvija, Igaunija un, lai arī netieši, Somija. Paredzēts, ka dzelzceļa līnija savienos Helsinkus, Tallinu, Pērnavu, Rīgu, Paņevežu, Kauņu, Viļnu un Varšavu. Dzelzceļa līnijas izbūve, kas vīsies caur Baltijas valstīm, tiek dēvēta par Rail Baltica Globālo projektu.</w:t>
      </w:r>
      <w:r w:rsidRPr="004E1ACF">
        <w:rPr>
          <w:rStyle w:val="FootnoteReference"/>
          <w:rFonts w:ascii="Calibri" w:hAnsi="Calibri" w:cs="Calibri"/>
          <w:color w:val="auto"/>
          <w:spacing w:val="-6"/>
          <w:sz w:val="22"/>
          <w:szCs w:val="22"/>
          <w:lang w:val="lv-LV"/>
        </w:rPr>
        <w:footnoteReference w:id="5"/>
      </w:r>
      <w:r w:rsidRPr="004E1ACF">
        <w:rPr>
          <w:rFonts w:ascii="Calibri" w:hAnsi="Calibri" w:cs="Calibri"/>
          <w:color w:val="auto"/>
          <w:spacing w:val="-6"/>
          <w:sz w:val="22"/>
          <w:szCs w:val="22"/>
          <w:lang w:val="lv-LV"/>
        </w:rPr>
        <w:t xml:space="preserve"> Daļa no Ziemeļjūras–Baltijas transporta koridora.</w:t>
      </w:r>
    </w:p>
    <w:p w:rsidR="008B3629" w:rsidRDefault="00663F61" w:rsidP="008B3629">
      <w:pPr>
        <w:tabs>
          <w:tab w:val="num" w:pos="0"/>
        </w:tabs>
        <w:spacing w:before="120"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t>VDz</w:t>
      </w:r>
      <w:r w:rsidR="006909A6" w:rsidRPr="004E1ACF">
        <w:rPr>
          <w:rFonts w:ascii="Calibri" w:hAnsi="Calibri" w:cs="Calibri"/>
          <w:color w:val="auto"/>
          <w:spacing w:val="-6"/>
          <w:sz w:val="22"/>
          <w:szCs w:val="22"/>
          <w:lang w:val="lv-LV"/>
        </w:rPr>
        <w:t xml:space="preserve">TI, kā valsts drošības iestāde, ir sniegusi vairākus atzinumus un skaidrojumus par tehnisko specifikāciju apakšsistēmām, lai tiktu nodrošināta gan drošības, gan elementu savietojamība. </w:t>
      </w:r>
      <w:r>
        <w:rPr>
          <w:rFonts w:ascii="Calibri" w:hAnsi="Calibri" w:cs="Calibri"/>
          <w:color w:val="auto"/>
          <w:spacing w:val="-6"/>
          <w:sz w:val="22"/>
          <w:szCs w:val="22"/>
          <w:lang w:val="lv-LV"/>
        </w:rPr>
        <w:t xml:space="preserve"> VDzTI ir pieņēmusi</w:t>
      </w:r>
      <w:r w:rsidR="008B3629">
        <w:rPr>
          <w:rFonts w:ascii="Calibri" w:hAnsi="Calibri" w:cs="Calibri"/>
          <w:color w:val="auto"/>
          <w:spacing w:val="-6"/>
          <w:sz w:val="22"/>
          <w:szCs w:val="22"/>
          <w:lang w:val="lv-LV"/>
        </w:rPr>
        <w:t xml:space="preserve"> vairākus lēmumus par Rail Baltica izbūvi un būvprojektu izmaiņām.</w:t>
      </w:r>
    </w:p>
    <w:p w:rsidR="006909A6" w:rsidRPr="004E1ACF" w:rsidRDefault="008B3629" w:rsidP="008B3629">
      <w:pPr>
        <w:tabs>
          <w:tab w:val="num" w:pos="0"/>
        </w:tabs>
        <w:spacing w:before="120"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t xml:space="preserve">VDzTI aktīvi seko līdzi Rail Baltica projektam un iesaistītām pusēm sniedz konsultācijas drošības un savstarpējās izmantojamības jomā. </w:t>
      </w:r>
      <w:r w:rsidR="00663F61">
        <w:rPr>
          <w:rFonts w:ascii="Calibri" w:hAnsi="Calibri" w:cs="Calibri"/>
          <w:color w:val="auto"/>
          <w:spacing w:val="-6"/>
          <w:sz w:val="22"/>
          <w:szCs w:val="22"/>
          <w:lang w:val="lv-LV"/>
        </w:rPr>
        <w:t xml:space="preserve"> VD</w:t>
      </w:r>
      <w:r>
        <w:rPr>
          <w:rFonts w:ascii="Calibri" w:hAnsi="Calibri" w:cs="Calibri"/>
          <w:color w:val="auto"/>
          <w:spacing w:val="-6"/>
          <w:sz w:val="22"/>
          <w:szCs w:val="22"/>
          <w:lang w:val="lv-LV"/>
        </w:rPr>
        <w:t xml:space="preserve">zTI arī piedalās Rail Baltica </w:t>
      </w:r>
      <w:r w:rsidRPr="008B3629">
        <w:rPr>
          <w:rFonts w:ascii="Calibri" w:hAnsi="Calibri" w:cs="Calibri"/>
          <w:color w:val="auto"/>
          <w:spacing w:val="-6"/>
          <w:sz w:val="22"/>
          <w:szCs w:val="22"/>
          <w:lang w:val="lv-LV"/>
        </w:rPr>
        <w:t xml:space="preserve">Ilgtspējīgas </w:t>
      </w:r>
      <w:r>
        <w:rPr>
          <w:rFonts w:ascii="Calibri" w:hAnsi="Calibri" w:cs="Calibri"/>
          <w:color w:val="auto"/>
          <w:spacing w:val="-6"/>
          <w:sz w:val="22"/>
          <w:szCs w:val="22"/>
          <w:lang w:val="lv-LV"/>
        </w:rPr>
        <w:t>attīstības koordinācijas padomes darbā.</w:t>
      </w:r>
    </w:p>
    <w:p w:rsidR="006909A6" w:rsidRPr="002E672E" w:rsidRDefault="006909A6" w:rsidP="00770498">
      <w:pPr>
        <w:pStyle w:val="Heading1"/>
        <w:pBdr>
          <w:bottom w:val="single" w:sz="4" w:space="0" w:color="auto"/>
        </w:pBdr>
        <w:spacing w:before="240"/>
        <w:ind w:left="709"/>
        <w:rPr>
          <w:rFonts w:ascii="Calibri" w:hAnsi="Calibri" w:cs="Calibri"/>
          <w:b/>
          <w:color w:val="auto"/>
          <w:sz w:val="24"/>
          <w:szCs w:val="24"/>
          <w:lang w:val="lv-LV"/>
        </w:rPr>
      </w:pPr>
      <w:bookmarkStart w:id="52" w:name="_Toc19108627"/>
      <w:bookmarkStart w:id="53" w:name="_Toc51146321"/>
      <w:r w:rsidRPr="002E672E">
        <w:rPr>
          <w:rFonts w:ascii="Calibri" w:hAnsi="Calibri" w:cs="Calibri"/>
          <w:b/>
          <w:color w:val="auto"/>
          <w:sz w:val="24"/>
          <w:szCs w:val="24"/>
          <w:lang w:val="lv-LV"/>
        </w:rPr>
        <w:t>Drošības kultūra</w:t>
      </w:r>
      <w:bookmarkEnd w:id="52"/>
      <w:bookmarkEnd w:id="53"/>
    </w:p>
    <w:p w:rsidR="006909A6" w:rsidRPr="002E672E" w:rsidRDefault="006909A6" w:rsidP="006909A6">
      <w:pPr>
        <w:tabs>
          <w:tab w:val="num" w:pos="0"/>
        </w:tabs>
        <w:spacing w:after="0" w:line="240" w:lineRule="auto"/>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ab/>
        <w:t>VDzTI uzraudzības auditos reģistrē nepilnības, kas saistāmas ar drošības kultūras jautājumiem. Interviju un pārbaužu analīze ar organizāciju nodarbinātajiem ļauj noteikt galvenos ietekmējošos faktorus</w:t>
      </w:r>
      <w:r w:rsidR="002E672E">
        <w:rPr>
          <w:rFonts w:ascii="Calibri" w:hAnsi="Calibri" w:cs="Calibri"/>
          <w:color w:val="auto"/>
          <w:spacing w:val="-6"/>
          <w:sz w:val="22"/>
          <w:szCs w:val="22"/>
          <w:lang w:val="lv-LV"/>
        </w:rPr>
        <w:t xml:space="preserve"> par drošības kultūras jautājumiem</w:t>
      </w:r>
      <w:r w:rsidRPr="002E672E">
        <w:rPr>
          <w:rFonts w:ascii="Calibri" w:hAnsi="Calibri" w:cs="Calibri"/>
          <w:color w:val="auto"/>
          <w:spacing w:val="-6"/>
          <w:sz w:val="22"/>
          <w:szCs w:val="22"/>
          <w:lang w:val="lv-LV"/>
        </w:rPr>
        <w:t>.</w:t>
      </w:r>
      <w:r w:rsidR="002E672E">
        <w:rPr>
          <w:rFonts w:ascii="Calibri" w:hAnsi="Calibri" w:cs="Calibri"/>
          <w:color w:val="auto"/>
          <w:spacing w:val="-6"/>
          <w:sz w:val="22"/>
          <w:szCs w:val="22"/>
          <w:lang w:val="lv-LV"/>
        </w:rPr>
        <w:t xml:space="preserve"> Šobrīd organizācijas ir pārmaiņu procesā, pakāpeniski integrējot drošības kultūras jautājumus.   </w:t>
      </w:r>
      <w:r w:rsidRPr="002E672E">
        <w:rPr>
          <w:rFonts w:ascii="Calibri" w:hAnsi="Calibri" w:cs="Calibri"/>
          <w:color w:val="auto"/>
          <w:spacing w:val="-6"/>
          <w:sz w:val="22"/>
          <w:szCs w:val="22"/>
          <w:lang w:val="lv-LV"/>
        </w:rPr>
        <w:t>VDzTI ir identificējusi</w:t>
      </w:r>
      <w:r w:rsidR="00663F61">
        <w:rPr>
          <w:rFonts w:ascii="Calibri" w:hAnsi="Calibri" w:cs="Calibri"/>
          <w:color w:val="auto"/>
          <w:spacing w:val="-6"/>
          <w:sz w:val="22"/>
          <w:szCs w:val="22"/>
          <w:lang w:val="lv-LV"/>
        </w:rPr>
        <w:t xml:space="preserve"> jomas, kas būtu raksturojamas</w:t>
      </w:r>
      <w:r w:rsidR="002E672E">
        <w:rPr>
          <w:rFonts w:ascii="Calibri" w:hAnsi="Calibri" w:cs="Calibri"/>
          <w:color w:val="auto"/>
          <w:spacing w:val="-6"/>
          <w:sz w:val="22"/>
          <w:szCs w:val="22"/>
          <w:lang w:val="lv-LV"/>
        </w:rPr>
        <w:t xml:space="preserve"> kā kavējošie faktori drošības kultūras modeļa ieviešanā: </w:t>
      </w:r>
    </w:p>
    <w:p w:rsidR="006909A6" w:rsidRPr="002E672E"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w:t>
      </w:r>
      <w:r w:rsidRPr="002E672E">
        <w:rPr>
          <w:rFonts w:ascii="Calibri" w:hAnsi="Calibri" w:cs="Calibri"/>
          <w:color w:val="auto"/>
          <w:spacing w:val="-6"/>
          <w:sz w:val="22"/>
          <w:szCs w:val="22"/>
          <w:lang w:val="lv-LV"/>
        </w:rPr>
        <w:tab/>
        <w:t>nav kopīga redzējuma, vīzijas vai mērķi, proti stratēģijās nav pilnībā izvērtēti drošības jautājumi un definēti iespējamie riski;</w:t>
      </w:r>
    </w:p>
    <w:p w:rsidR="006909A6"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lastRenderedPageBreak/>
        <w:t>-</w:t>
      </w:r>
      <w:r w:rsidRPr="002E672E">
        <w:rPr>
          <w:rFonts w:ascii="Calibri" w:hAnsi="Calibri" w:cs="Calibri"/>
          <w:color w:val="auto"/>
          <w:spacing w:val="-6"/>
          <w:sz w:val="22"/>
          <w:szCs w:val="22"/>
          <w:lang w:val="lv-LV"/>
        </w:rPr>
        <w:tab/>
        <w:t>drošības politikas nerealizēšana - nespēja ieviest vai realizēt drošības prasības, nav skaidra drošības politikas nozīme;</w:t>
      </w:r>
    </w:p>
    <w:p w:rsidR="002E672E" w:rsidRDefault="002E672E" w:rsidP="004E6705">
      <w:pPr>
        <w:tabs>
          <w:tab w:val="left" w:pos="709"/>
          <w:tab w:val="left" w:pos="851"/>
        </w:tabs>
        <w:spacing w:after="0" w:line="240" w:lineRule="auto"/>
        <w:ind w:left="284" w:firstLine="283"/>
        <w:jc w:val="both"/>
        <w:rPr>
          <w:rFonts w:ascii="Calibri" w:hAnsi="Calibri" w:cs="Calibri"/>
          <w:color w:val="auto"/>
          <w:spacing w:val="-6"/>
          <w:sz w:val="22"/>
          <w:szCs w:val="22"/>
          <w:lang w:val="lv-LV"/>
        </w:rPr>
      </w:pPr>
      <w:r>
        <w:rPr>
          <w:rFonts w:ascii="Calibri" w:hAnsi="Calibri" w:cs="Calibri"/>
          <w:color w:val="auto"/>
          <w:spacing w:val="-6"/>
          <w:sz w:val="22"/>
          <w:szCs w:val="22"/>
          <w:lang w:val="lv-LV"/>
        </w:rPr>
        <w:t xml:space="preserve">-   ne visos līmeņos darbinieki pārzina galvenos riskus un nodrošina to pārvaldību; </w:t>
      </w:r>
    </w:p>
    <w:p w:rsidR="006909A6" w:rsidRPr="002E672E"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w:t>
      </w:r>
      <w:r w:rsidRPr="002E672E">
        <w:rPr>
          <w:rFonts w:ascii="Calibri" w:hAnsi="Calibri" w:cs="Calibri"/>
          <w:color w:val="auto"/>
          <w:spacing w:val="-6"/>
          <w:sz w:val="22"/>
          <w:szCs w:val="22"/>
          <w:lang w:val="lv-LV"/>
        </w:rPr>
        <w:tab/>
        <w:t>vadības organizācija atsevišķos procesos neiet kopsolī ar drošību un organizācijas mērķiem – nav atvērta komunikācija ar nodarbinātajiem;</w:t>
      </w:r>
    </w:p>
    <w:p w:rsidR="006909A6" w:rsidRPr="002E672E"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w:t>
      </w:r>
      <w:r w:rsidRPr="002E672E">
        <w:rPr>
          <w:rFonts w:ascii="Calibri" w:hAnsi="Calibri" w:cs="Calibri"/>
          <w:color w:val="auto"/>
          <w:spacing w:val="-6"/>
          <w:sz w:val="22"/>
          <w:szCs w:val="22"/>
          <w:lang w:val="lv-LV"/>
        </w:rPr>
        <w:tab/>
        <w:t xml:space="preserve">pārmaiņu vadības strukturēta pieeja.  </w:t>
      </w:r>
    </w:p>
    <w:p w:rsidR="002E672E" w:rsidRDefault="002E672E" w:rsidP="006909A6">
      <w:pPr>
        <w:spacing w:before="120" w:after="0" w:line="240" w:lineRule="auto"/>
        <w:ind w:firstLine="567"/>
        <w:jc w:val="both"/>
        <w:rPr>
          <w:rFonts w:ascii="Calibri" w:hAnsi="Calibri" w:cs="Calibri"/>
          <w:color w:val="auto"/>
          <w:spacing w:val="-6"/>
          <w:sz w:val="22"/>
          <w:szCs w:val="22"/>
          <w:lang w:val="lv-LV"/>
        </w:rPr>
      </w:pPr>
      <w:r>
        <w:rPr>
          <w:rFonts w:ascii="Calibri" w:hAnsi="Calibri" w:cs="Calibri"/>
          <w:color w:val="auto"/>
          <w:spacing w:val="-6"/>
          <w:sz w:val="22"/>
          <w:szCs w:val="22"/>
          <w:lang w:val="lv-LV"/>
        </w:rPr>
        <w:t>Kā pozitīvus faktorus var minēt, ka:</w:t>
      </w:r>
    </w:p>
    <w:p w:rsidR="002E672E" w:rsidRDefault="002E672E" w:rsidP="002E672E">
      <w:pPr>
        <w:pStyle w:val="ListParagraph"/>
        <w:numPr>
          <w:ilvl w:val="0"/>
          <w:numId w:val="4"/>
        </w:numPr>
        <w:spacing w:before="120"/>
        <w:jc w:val="both"/>
        <w:rPr>
          <w:rFonts w:ascii="Calibri" w:hAnsi="Calibri" w:cs="Calibri"/>
          <w:spacing w:val="-6"/>
          <w:sz w:val="22"/>
          <w:szCs w:val="22"/>
        </w:rPr>
      </w:pPr>
      <w:r>
        <w:rPr>
          <w:rFonts w:ascii="Calibri" w:hAnsi="Calibri" w:cs="Calibri"/>
          <w:spacing w:val="-6"/>
          <w:sz w:val="22"/>
          <w:szCs w:val="22"/>
        </w:rPr>
        <w:t>organizācijas spēj droši darboties ārkārtas situācijās un nepārtraukti pilnveidojas;</w:t>
      </w:r>
    </w:p>
    <w:p w:rsidR="002E672E" w:rsidRDefault="002E672E" w:rsidP="002E672E">
      <w:pPr>
        <w:pStyle w:val="ListParagraph"/>
        <w:numPr>
          <w:ilvl w:val="0"/>
          <w:numId w:val="4"/>
        </w:numPr>
        <w:spacing w:before="120"/>
        <w:jc w:val="both"/>
        <w:rPr>
          <w:rFonts w:ascii="Calibri" w:hAnsi="Calibri" w:cs="Calibri"/>
          <w:spacing w:val="-6"/>
          <w:sz w:val="22"/>
          <w:szCs w:val="22"/>
        </w:rPr>
      </w:pPr>
      <w:r>
        <w:rPr>
          <w:rFonts w:ascii="Calibri" w:hAnsi="Calibri" w:cs="Calibri"/>
          <w:spacing w:val="-6"/>
          <w:sz w:val="22"/>
          <w:szCs w:val="22"/>
        </w:rPr>
        <w:t xml:space="preserve">nodrošina nepārtrauktu kompetenču pilnveidošanu; </w:t>
      </w:r>
    </w:p>
    <w:p w:rsidR="002E672E" w:rsidRPr="002E672E" w:rsidRDefault="002E672E" w:rsidP="002E672E">
      <w:pPr>
        <w:pStyle w:val="ListParagraph"/>
        <w:numPr>
          <w:ilvl w:val="0"/>
          <w:numId w:val="4"/>
        </w:numPr>
        <w:spacing w:before="120"/>
        <w:jc w:val="both"/>
        <w:rPr>
          <w:rFonts w:ascii="Calibri" w:hAnsi="Calibri" w:cs="Calibri"/>
          <w:spacing w:val="-6"/>
          <w:sz w:val="22"/>
          <w:szCs w:val="22"/>
        </w:rPr>
      </w:pPr>
      <w:r>
        <w:rPr>
          <w:rFonts w:ascii="Calibri" w:hAnsi="Calibri" w:cs="Calibri"/>
          <w:spacing w:val="-6"/>
          <w:sz w:val="22"/>
          <w:szCs w:val="22"/>
        </w:rPr>
        <w:t xml:space="preserve">izprot darba apstākļu uzlabošanas nepieciešamību, lai uzlabotu </w:t>
      </w:r>
      <w:r w:rsidR="004E6705">
        <w:rPr>
          <w:rFonts w:ascii="Calibri" w:hAnsi="Calibri" w:cs="Calibri"/>
          <w:spacing w:val="-6"/>
          <w:sz w:val="22"/>
          <w:szCs w:val="22"/>
        </w:rPr>
        <w:t>drošību.</w:t>
      </w:r>
    </w:p>
    <w:p w:rsidR="006909A6" w:rsidRPr="004E1ACF" w:rsidRDefault="006909A6" w:rsidP="006909A6">
      <w:pPr>
        <w:spacing w:before="120" w:after="0" w:line="240" w:lineRule="auto"/>
        <w:ind w:firstLine="567"/>
        <w:jc w:val="both"/>
        <w:rPr>
          <w:rFonts w:ascii="Calibri" w:hAnsi="Calibri" w:cs="Calibri"/>
          <w:color w:val="auto"/>
          <w:spacing w:val="-6"/>
          <w:sz w:val="22"/>
          <w:szCs w:val="22"/>
          <w:lang w:val="lv-LV"/>
        </w:rPr>
      </w:pPr>
      <w:r w:rsidRPr="002E672E">
        <w:rPr>
          <w:rFonts w:ascii="Calibri" w:hAnsi="Calibri" w:cs="Calibri"/>
          <w:color w:val="auto"/>
          <w:spacing w:val="-6"/>
          <w:sz w:val="22"/>
          <w:szCs w:val="22"/>
          <w:lang w:val="lv-LV"/>
        </w:rPr>
        <w:tab/>
        <w:t>VDzTI organizācijām jau ir norādījusi, ka ir jābūt pareizai un kvalitatīvi pamatotai pieejai iekšējo un ārējo procesu organizācijā, mērķu definēšanā, cilvēciskā un organizatoriskā faktora mazināšanā.</w:t>
      </w:r>
      <w:r w:rsidRPr="004E1ACF">
        <w:rPr>
          <w:rFonts w:ascii="Calibri" w:hAnsi="Calibri" w:cs="Calibri"/>
          <w:color w:val="auto"/>
          <w:spacing w:val="-6"/>
          <w:sz w:val="22"/>
          <w:szCs w:val="22"/>
          <w:lang w:val="lv-LV"/>
        </w:rPr>
        <w:t xml:space="preserve">   </w:t>
      </w:r>
      <w:r w:rsidR="004E309E">
        <w:rPr>
          <w:rFonts w:ascii="Calibri" w:hAnsi="Calibri" w:cs="Calibri"/>
          <w:color w:val="auto"/>
          <w:spacing w:val="-6"/>
          <w:sz w:val="22"/>
          <w:szCs w:val="22"/>
          <w:lang w:val="lv-LV"/>
        </w:rPr>
        <w:t xml:space="preserve">Ieteikumi drošības kultūras modeļa pilnveidošanai parasti tiek iekļauti audita ziņojumus un prezentēti organizācijas auditu noslēguma sanāksmēs. </w:t>
      </w:r>
    </w:p>
    <w:p w:rsidR="006909A6" w:rsidRPr="004E1ACF" w:rsidRDefault="006909A6" w:rsidP="006909A6">
      <w:pPr>
        <w:spacing w:after="0" w:line="240" w:lineRule="auto"/>
        <w:ind w:firstLine="567"/>
        <w:jc w:val="both"/>
        <w:rPr>
          <w:rFonts w:ascii="Calibri" w:hAnsi="Calibri" w:cs="Calibri"/>
          <w:color w:val="auto"/>
          <w:spacing w:val="-6"/>
          <w:sz w:val="22"/>
          <w:szCs w:val="22"/>
          <w:lang w:val="lv-LV"/>
        </w:rPr>
      </w:pPr>
    </w:p>
    <w:p w:rsidR="006909A6" w:rsidRPr="004E1ACF" w:rsidRDefault="00394B97" w:rsidP="006909A6">
      <w:pPr>
        <w:tabs>
          <w:tab w:val="num" w:pos="851"/>
        </w:tabs>
        <w:spacing w:after="0" w:line="240" w:lineRule="auto"/>
        <w:ind w:left="567"/>
        <w:jc w:val="both"/>
        <w:rPr>
          <w:rFonts w:ascii="Calibri" w:hAnsi="Calibri" w:cs="Calibri"/>
          <w:color w:val="auto"/>
          <w:spacing w:val="-6"/>
          <w:sz w:val="22"/>
          <w:szCs w:val="22"/>
          <w:lang w:val="lv-LV"/>
        </w:rPr>
      </w:pPr>
      <w:r>
        <w:rPr>
          <w:rFonts w:ascii="Calibri" w:hAnsi="Calibri" w:cs="Calibri"/>
          <w:color w:val="auto"/>
          <w:spacing w:val="-6"/>
          <w:sz w:val="22"/>
          <w:szCs w:val="22"/>
          <w:lang w:val="lv-LV"/>
        </w:rPr>
        <w:t>Pielikumā: Kopīg</w:t>
      </w:r>
      <w:r w:rsidR="004C7230">
        <w:rPr>
          <w:rFonts w:ascii="Calibri" w:hAnsi="Calibri" w:cs="Calibri"/>
          <w:color w:val="auto"/>
          <w:spacing w:val="-6"/>
          <w:sz w:val="22"/>
          <w:szCs w:val="22"/>
          <w:lang w:val="lv-LV"/>
        </w:rPr>
        <w:t>ie</w:t>
      </w:r>
      <w:r>
        <w:rPr>
          <w:rFonts w:ascii="Calibri" w:hAnsi="Calibri" w:cs="Calibri"/>
          <w:color w:val="auto"/>
          <w:spacing w:val="-6"/>
          <w:sz w:val="22"/>
          <w:szCs w:val="22"/>
          <w:lang w:val="lv-LV"/>
        </w:rPr>
        <w:t xml:space="preserve"> drošības rādītāji par 2019.gadu un savstarpējās izmantojamības dati</w:t>
      </w:r>
      <w:r w:rsidR="00173FDF">
        <w:rPr>
          <w:rFonts w:ascii="Calibri" w:hAnsi="Calibri" w:cs="Calibri"/>
          <w:color w:val="auto"/>
          <w:spacing w:val="-6"/>
          <w:sz w:val="22"/>
          <w:szCs w:val="22"/>
          <w:lang w:val="lv-LV"/>
        </w:rPr>
        <w:t xml:space="preserve"> (MS Excel, 250 KB)</w:t>
      </w:r>
      <w:r>
        <w:rPr>
          <w:rFonts w:ascii="Calibri" w:hAnsi="Calibri" w:cs="Calibri"/>
          <w:color w:val="auto"/>
          <w:spacing w:val="-6"/>
          <w:sz w:val="22"/>
          <w:szCs w:val="22"/>
          <w:lang w:val="lv-LV"/>
        </w:rPr>
        <w:t xml:space="preserve">. </w:t>
      </w:r>
    </w:p>
    <w:p w:rsidR="006909A6" w:rsidRPr="004E1ACF" w:rsidRDefault="006909A6" w:rsidP="006909A6">
      <w:pPr>
        <w:tabs>
          <w:tab w:val="num" w:pos="0"/>
        </w:tabs>
        <w:spacing w:after="0" w:line="240" w:lineRule="auto"/>
        <w:jc w:val="both"/>
        <w:rPr>
          <w:rFonts w:ascii="Calibri" w:hAnsi="Calibri" w:cs="Calibri"/>
          <w:color w:val="auto"/>
          <w:spacing w:val="-6"/>
          <w:sz w:val="22"/>
          <w:szCs w:val="22"/>
          <w:lang w:val="lv-LV"/>
        </w:rPr>
      </w:pPr>
    </w:p>
    <w:p w:rsidR="00757033" w:rsidRPr="00580E74" w:rsidRDefault="00757033" w:rsidP="00394B97">
      <w:pPr>
        <w:pStyle w:val="Heading1"/>
        <w:pBdr>
          <w:bottom w:val="none" w:sz="0" w:space="0" w:color="auto"/>
        </w:pBdr>
        <w:spacing w:before="360"/>
        <w:rPr>
          <w:rStyle w:val="t35"/>
          <w:rFonts w:ascii="Calibri" w:hAnsi="Calibri" w:cs="Calibri"/>
          <w:color w:val="auto"/>
          <w:sz w:val="22"/>
          <w:szCs w:val="22"/>
          <w:lang w:val="lv-LV"/>
        </w:rPr>
      </w:pPr>
    </w:p>
    <w:sectPr w:rsidR="00757033" w:rsidRPr="00580E74" w:rsidSect="00217190">
      <w:headerReference w:type="default" r:id="rId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73B" w:rsidRDefault="0017073B" w:rsidP="00EE0A83">
      <w:pPr>
        <w:spacing w:after="0" w:line="240" w:lineRule="auto"/>
      </w:pPr>
      <w:r>
        <w:separator/>
      </w:r>
    </w:p>
  </w:endnote>
  <w:endnote w:type="continuationSeparator" w:id="0">
    <w:p w:rsidR="0017073B" w:rsidRDefault="0017073B" w:rsidP="00EE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73B" w:rsidRDefault="0017073B" w:rsidP="00EE0A83">
      <w:pPr>
        <w:spacing w:after="0" w:line="240" w:lineRule="auto"/>
      </w:pPr>
      <w:r>
        <w:separator/>
      </w:r>
    </w:p>
  </w:footnote>
  <w:footnote w:type="continuationSeparator" w:id="0">
    <w:p w:rsidR="0017073B" w:rsidRDefault="0017073B" w:rsidP="00EE0A83">
      <w:pPr>
        <w:spacing w:after="0" w:line="240" w:lineRule="auto"/>
      </w:pPr>
      <w:r>
        <w:continuationSeparator/>
      </w:r>
    </w:p>
  </w:footnote>
  <w:footnote w:id="1">
    <w:p w:rsidR="00B93BB9" w:rsidRPr="00CD2C8C" w:rsidRDefault="00B93BB9" w:rsidP="00736DF2">
      <w:pPr>
        <w:pStyle w:val="FootnoteText"/>
        <w:rPr>
          <w:rFonts w:ascii="Calibri" w:hAnsi="Calibri" w:cs="Calibri"/>
          <w:sz w:val="20"/>
          <w:szCs w:val="20"/>
        </w:rPr>
      </w:pPr>
      <w:r w:rsidRPr="00CD2C8C">
        <w:rPr>
          <w:rStyle w:val="FootnoteReference"/>
          <w:rFonts w:ascii="Calibri" w:hAnsi="Calibri" w:cs="Calibri"/>
          <w:sz w:val="20"/>
          <w:szCs w:val="20"/>
        </w:rPr>
        <w:footnoteRef/>
      </w:r>
      <w:r w:rsidRPr="00CD2C8C">
        <w:rPr>
          <w:rFonts w:ascii="Calibri" w:hAnsi="Calibri" w:cs="Calibri"/>
          <w:sz w:val="20"/>
          <w:szCs w:val="20"/>
        </w:rPr>
        <w:t xml:space="preserve"> Dzelzceļa likuma 33.panta pirmā daļa</w:t>
      </w:r>
    </w:p>
  </w:footnote>
  <w:footnote w:id="2">
    <w:p w:rsidR="00B93BB9" w:rsidRPr="00CD2C8C" w:rsidRDefault="00B93BB9" w:rsidP="00747919">
      <w:pPr>
        <w:pStyle w:val="FootnoteText"/>
        <w:rPr>
          <w:rFonts w:ascii="Calibri" w:hAnsi="Calibri" w:cs="Calibri"/>
          <w:sz w:val="20"/>
          <w:szCs w:val="20"/>
        </w:rPr>
      </w:pPr>
      <w:r w:rsidRPr="00CD2C8C">
        <w:rPr>
          <w:rStyle w:val="FootnoteReference"/>
          <w:rFonts w:ascii="Calibri" w:hAnsi="Calibri" w:cs="Calibri"/>
          <w:sz w:val="20"/>
          <w:szCs w:val="20"/>
        </w:rPr>
        <w:footnoteRef/>
      </w:r>
      <w:r w:rsidRPr="00CD2C8C">
        <w:rPr>
          <w:rFonts w:ascii="Calibri" w:hAnsi="Calibri" w:cs="Calibri"/>
          <w:sz w:val="20"/>
          <w:szCs w:val="20"/>
        </w:rPr>
        <w:t xml:space="preserve"> Komisijas lēmums Nr.2012/226/ES (2012.gada 23.aprīlis) par dzelzceļa sistēmas kopīgo drošības mērķu kopumu</w:t>
      </w:r>
    </w:p>
  </w:footnote>
  <w:footnote w:id="3">
    <w:p w:rsidR="00B93BB9" w:rsidRPr="002A693C" w:rsidRDefault="00B93BB9" w:rsidP="00F2784E">
      <w:pPr>
        <w:pStyle w:val="FootnoteText"/>
        <w:rPr>
          <w:rFonts w:ascii="Calibri" w:hAnsi="Calibri" w:cs="Calibri"/>
          <w:sz w:val="22"/>
        </w:rPr>
      </w:pPr>
      <w:r>
        <w:rPr>
          <w:rStyle w:val="FootnoteReference"/>
        </w:rPr>
        <w:footnoteRef/>
      </w:r>
      <w:r>
        <w:t xml:space="preserve"> </w:t>
      </w:r>
      <w:r w:rsidRPr="002A693C">
        <w:rPr>
          <w:rFonts w:ascii="Calibri" w:hAnsi="Calibri" w:cs="Calibri"/>
          <w:sz w:val="22"/>
        </w:rPr>
        <w:t>Uzsākts</w:t>
      </w:r>
    </w:p>
  </w:footnote>
  <w:footnote w:id="4">
    <w:p w:rsidR="00B93BB9" w:rsidRPr="002A693C" w:rsidRDefault="00B93BB9" w:rsidP="00F2784E">
      <w:pPr>
        <w:pStyle w:val="FootnoteText"/>
      </w:pPr>
      <w:r w:rsidRPr="002A693C">
        <w:rPr>
          <w:rStyle w:val="FootnoteReference"/>
          <w:rFonts w:ascii="Calibri" w:hAnsi="Calibri" w:cs="Calibri"/>
          <w:sz w:val="22"/>
        </w:rPr>
        <w:footnoteRef/>
      </w:r>
      <w:r w:rsidRPr="002A693C">
        <w:rPr>
          <w:rFonts w:ascii="Calibri" w:hAnsi="Calibri" w:cs="Calibri"/>
          <w:sz w:val="22"/>
        </w:rPr>
        <w:t xml:space="preserve"> Uzsākts</w:t>
      </w:r>
    </w:p>
  </w:footnote>
  <w:footnote w:id="5">
    <w:p w:rsidR="00B93BB9" w:rsidRPr="00A06714" w:rsidRDefault="00B93BB9" w:rsidP="006909A6">
      <w:pPr>
        <w:pStyle w:val="FootnoteText"/>
      </w:pPr>
      <w:r>
        <w:rPr>
          <w:rStyle w:val="FootnoteReference"/>
        </w:rPr>
        <w:footnoteRef/>
      </w:r>
      <w:r>
        <w:t xml:space="preserve"> </w:t>
      </w:r>
      <w:hyperlink r:id="rId1" w:history="1">
        <w:r>
          <w:rPr>
            <w:rStyle w:val="Hyperlink"/>
          </w:rPr>
          <w:t>http://www.railbaltica.org/lv/</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511764"/>
      <w:docPartObj>
        <w:docPartGallery w:val="Page Numbers (Top of Page)"/>
        <w:docPartUnique/>
      </w:docPartObj>
    </w:sdtPr>
    <w:sdtEndPr>
      <w:rPr>
        <w:noProof/>
      </w:rPr>
    </w:sdtEndPr>
    <w:sdtContent>
      <w:p w:rsidR="00B93BB9" w:rsidRDefault="00B93BB9">
        <w:pPr>
          <w:pStyle w:val="Header"/>
          <w:jc w:val="center"/>
        </w:pPr>
        <w:r>
          <w:fldChar w:fldCharType="begin"/>
        </w:r>
        <w:r>
          <w:instrText xml:space="preserve"> PAGE   \* MERGEFORMAT </w:instrText>
        </w:r>
        <w:r>
          <w:fldChar w:fldCharType="separate"/>
        </w:r>
        <w:r w:rsidR="00FF6BC6">
          <w:rPr>
            <w:noProof/>
          </w:rPr>
          <w:t>1</w:t>
        </w:r>
        <w:r>
          <w:rPr>
            <w:noProof/>
          </w:rPr>
          <w:fldChar w:fldCharType="end"/>
        </w:r>
      </w:p>
    </w:sdtContent>
  </w:sdt>
  <w:p w:rsidR="00B93BB9" w:rsidRDefault="00B93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123526161"/>
      <w:docPartObj>
        <w:docPartGallery w:val="Page Numbers (Top of Page)"/>
        <w:docPartUnique/>
      </w:docPartObj>
    </w:sdtPr>
    <w:sdtEndPr>
      <w:rPr>
        <w:b/>
        <w:bCs/>
        <w:noProof/>
        <w:color w:val="44546A" w:themeColor="text2"/>
        <w:spacing w:val="0"/>
      </w:rPr>
    </w:sdtEndPr>
    <w:sdtContent>
      <w:p w:rsidR="00B93BB9" w:rsidRDefault="00B93BB9">
        <w:pPr>
          <w:pStyle w:val="Header"/>
          <w:pBdr>
            <w:bottom w:val="single" w:sz="4" w:space="1" w:color="D9D9D9" w:themeColor="background1" w:themeShade="D9"/>
          </w:pBdr>
          <w:jc w:val="right"/>
          <w:rPr>
            <w:b/>
            <w:bCs/>
          </w:rPr>
        </w:pPr>
        <w:r>
          <w:t xml:space="preserve">| </w:t>
        </w:r>
        <w:r>
          <w:fldChar w:fldCharType="begin"/>
        </w:r>
        <w:r>
          <w:instrText xml:space="preserve"> PAGE   \* MERGEFORMAT </w:instrText>
        </w:r>
        <w:r>
          <w:fldChar w:fldCharType="separate"/>
        </w:r>
        <w:r w:rsidR="00FF6BC6" w:rsidRPr="00FF6BC6">
          <w:rPr>
            <w:b/>
            <w:bCs/>
            <w:noProof/>
          </w:rPr>
          <w:t>20</w:t>
        </w:r>
        <w:r>
          <w:rPr>
            <w:b/>
            <w:bCs/>
            <w:noProof/>
          </w:rPr>
          <w:fldChar w:fldCharType="end"/>
        </w:r>
      </w:p>
    </w:sdtContent>
  </w:sdt>
  <w:p w:rsidR="00B93BB9" w:rsidRDefault="00B93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1A7"/>
    <w:multiLevelType w:val="hybridMultilevel"/>
    <w:tmpl w:val="2EA0009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C65336"/>
    <w:multiLevelType w:val="hybridMultilevel"/>
    <w:tmpl w:val="AA169E0E"/>
    <w:lvl w:ilvl="0" w:tplc="8E98BF94">
      <w:start w:val="2017"/>
      <w:numFmt w:val="bullet"/>
      <w:lvlText w:val="-"/>
      <w:lvlJc w:val="left"/>
      <w:pPr>
        <w:ind w:left="1140" w:hanging="360"/>
      </w:pPr>
      <w:rPr>
        <w:rFonts w:ascii="Garamond" w:eastAsiaTheme="minorEastAsia" w:hAnsi="Garamond" w:cstheme="minorBidi" w:hint="default"/>
      </w:rPr>
    </w:lvl>
    <w:lvl w:ilvl="1" w:tplc="8E98BF94">
      <w:start w:val="2017"/>
      <w:numFmt w:val="bullet"/>
      <w:lvlText w:val="-"/>
      <w:lvlJc w:val="left"/>
      <w:pPr>
        <w:ind w:left="1860" w:hanging="360"/>
      </w:pPr>
      <w:rPr>
        <w:rFonts w:ascii="Garamond" w:eastAsiaTheme="minorEastAsia" w:hAnsi="Garamond" w:cstheme="minorBidi"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C4616"/>
    <w:multiLevelType w:val="hybridMultilevel"/>
    <w:tmpl w:val="218E966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B636E20"/>
    <w:multiLevelType w:val="multilevel"/>
    <w:tmpl w:val="453EE758"/>
    <w:lvl w:ilvl="0">
      <w:start w:val="3"/>
      <w:numFmt w:val="decimal"/>
      <w:lvlText w:val="%1."/>
      <w:lvlJc w:val="left"/>
      <w:pPr>
        <w:ind w:left="720" w:hanging="720"/>
      </w:pPr>
      <w:rPr>
        <w:rFonts w:cs="EUAlbertina" w:hint="default"/>
      </w:rPr>
    </w:lvl>
    <w:lvl w:ilvl="1">
      <w:start w:val="4"/>
      <w:numFmt w:val="decimal"/>
      <w:lvlText w:val="%1.%2."/>
      <w:lvlJc w:val="left"/>
      <w:pPr>
        <w:ind w:left="960" w:hanging="720"/>
      </w:pPr>
      <w:rPr>
        <w:rFonts w:cs="EUAlbertina" w:hint="default"/>
      </w:rPr>
    </w:lvl>
    <w:lvl w:ilvl="2">
      <w:start w:val="2"/>
      <w:numFmt w:val="decimal"/>
      <w:lvlText w:val="%1.%2.%3."/>
      <w:lvlJc w:val="left"/>
      <w:pPr>
        <w:ind w:left="1200" w:hanging="720"/>
      </w:pPr>
      <w:rPr>
        <w:rFonts w:cs="EUAlbertina" w:hint="default"/>
      </w:rPr>
    </w:lvl>
    <w:lvl w:ilvl="3">
      <w:start w:val="2"/>
      <w:numFmt w:val="decimal"/>
      <w:lvlText w:val="%1.%2.%3.%4."/>
      <w:lvlJc w:val="left"/>
      <w:pPr>
        <w:ind w:left="1440" w:hanging="720"/>
      </w:pPr>
      <w:rPr>
        <w:rFonts w:cs="EUAlbertina" w:hint="default"/>
        <w:b/>
      </w:rPr>
    </w:lvl>
    <w:lvl w:ilvl="4">
      <w:start w:val="1"/>
      <w:numFmt w:val="decimal"/>
      <w:lvlText w:val="%1.%2.%3.%4.%5."/>
      <w:lvlJc w:val="left"/>
      <w:pPr>
        <w:ind w:left="2040" w:hanging="1080"/>
      </w:pPr>
      <w:rPr>
        <w:rFonts w:cs="EUAlbertina" w:hint="default"/>
      </w:rPr>
    </w:lvl>
    <w:lvl w:ilvl="5">
      <w:start w:val="1"/>
      <w:numFmt w:val="decimal"/>
      <w:lvlText w:val="%1.%2.%3.%4.%5.%6."/>
      <w:lvlJc w:val="left"/>
      <w:pPr>
        <w:ind w:left="2280" w:hanging="1080"/>
      </w:pPr>
      <w:rPr>
        <w:rFonts w:cs="EUAlbertina" w:hint="default"/>
      </w:rPr>
    </w:lvl>
    <w:lvl w:ilvl="6">
      <w:start w:val="1"/>
      <w:numFmt w:val="decimal"/>
      <w:lvlText w:val="%1.%2.%3.%4.%5.%6.%7."/>
      <w:lvlJc w:val="left"/>
      <w:pPr>
        <w:ind w:left="2880" w:hanging="1440"/>
      </w:pPr>
      <w:rPr>
        <w:rFonts w:cs="EUAlbertina" w:hint="default"/>
      </w:rPr>
    </w:lvl>
    <w:lvl w:ilvl="7">
      <w:start w:val="1"/>
      <w:numFmt w:val="decimal"/>
      <w:lvlText w:val="%1.%2.%3.%4.%5.%6.%7.%8."/>
      <w:lvlJc w:val="left"/>
      <w:pPr>
        <w:ind w:left="3120" w:hanging="1440"/>
      </w:pPr>
      <w:rPr>
        <w:rFonts w:cs="EUAlbertina" w:hint="default"/>
      </w:rPr>
    </w:lvl>
    <w:lvl w:ilvl="8">
      <w:start w:val="1"/>
      <w:numFmt w:val="decimal"/>
      <w:lvlText w:val="%1.%2.%3.%4.%5.%6.%7.%8.%9."/>
      <w:lvlJc w:val="left"/>
      <w:pPr>
        <w:ind w:left="3720" w:hanging="1800"/>
      </w:pPr>
      <w:rPr>
        <w:rFonts w:cs="EUAlbertina" w:hint="default"/>
      </w:rPr>
    </w:lvl>
  </w:abstractNum>
  <w:abstractNum w:abstractNumId="5" w15:restartNumberingAfterBreak="0">
    <w:nsid w:val="2FB91839"/>
    <w:multiLevelType w:val="hybridMultilevel"/>
    <w:tmpl w:val="3E3AB574"/>
    <w:lvl w:ilvl="0" w:tplc="8E98BF94">
      <w:start w:val="2017"/>
      <w:numFmt w:val="bullet"/>
      <w:lvlText w:val="-"/>
      <w:lvlJc w:val="left"/>
      <w:pPr>
        <w:ind w:left="1429" w:hanging="360"/>
      </w:pPr>
      <w:rPr>
        <w:rFonts w:ascii="Garamond" w:eastAsiaTheme="minorEastAsia" w:hAnsi="Garamond" w:cstheme="minorBid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3D5646BA"/>
    <w:multiLevelType w:val="hybridMultilevel"/>
    <w:tmpl w:val="A1AA8C62"/>
    <w:lvl w:ilvl="0" w:tplc="DC6829A2">
      <w:start w:val="2017"/>
      <w:numFmt w:val="bullet"/>
      <w:lvlText w:val="-"/>
      <w:lvlJc w:val="left"/>
      <w:pPr>
        <w:ind w:left="717" w:hanging="360"/>
      </w:pPr>
      <w:rPr>
        <w:rFonts w:ascii="Calibri" w:eastAsia="Times New Roman" w:hAnsi="Calibri" w:cs="Calibri"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7" w15:restartNumberingAfterBreak="0">
    <w:nsid w:val="49DF3AB5"/>
    <w:multiLevelType w:val="hybridMultilevel"/>
    <w:tmpl w:val="CAF22210"/>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4AE56C24"/>
    <w:multiLevelType w:val="multilevel"/>
    <w:tmpl w:val="8C74C85C"/>
    <w:lvl w:ilvl="0">
      <w:start w:val="1"/>
      <w:numFmt w:val="decimal"/>
      <w:pStyle w:val="TOC1"/>
      <w:lvlText w:val="%1."/>
      <w:lvlJc w:val="left"/>
      <w:pPr>
        <w:ind w:left="576" w:hanging="576"/>
      </w:pPr>
      <w:rPr>
        <w:rFonts w:asciiTheme="minorHAnsi" w:eastAsiaTheme="minorEastAsia" w:hAnsiTheme="minorHAnsi" w:cstheme="minorHAnsi"/>
        <w:b w:val="0"/>
      </w:rPr>
    </w:lvl>
    <w:lvl w:ilvl="1">
      <w:start w:val="4"/>
      <w:numFmt w:val="decimal"/>
      <w:isLgl/>
      <w:lvlText w:val="%1.%2."/>
      <w:lvlJc w:val="left"/>
      <w:pPr>
        <w:ind w:left="622" w:hanging="555"/>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2336" w:hanging="1800"/>
      </w:pPr>
      <w:rPr>
        <w:rFonts w:hint="default"/>
      </w:rPr>
    </w:lvl>
  </w:abstractNum>
  <w:abstractNum w:abstractNumId="9" w15:restartNumberingAfterBreak="0">
    <w:nsid w:val="4B567A2D"/>
    <w:multiLevelType w:val="hybridMultilevel"/>
    <w:tmpl w:val="C344BF0C"/>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7855281E"/>
    <w:multiLevelType w:val="hybridMultilevel"/>
    <w:tmpl w:val="376A6C7E"/>
    <w:lvl w:ilvl="0" w:tplc="55DEB188">
      <w:start w:val="2018"/>
      <w:numFmt w:val="bullet"/>
      <w:lvlText w:val="-"/>
      <w:lvlJc w:val="left"/>
      <w:pPr>
        <w:ind w:left="1125" w:hanging="360"/>
      </w:pPr>
      <w:rPr>
        <w:rFonts w:ascii="Calibri" w:eastAsiaTheme="minorEastAsia" w:hAnsi="Calibri" w:cs="Calibri"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11" w15:restartNumberingAfterBreak="0">
    <w:nsid w:val="7DD64133"/>
    <w:multiLevelType w:val="hybridMultilevel"/>
    <w:tmpl w:val="1C007F38"/>
    <w:lvl w:ilvl="0" w:tplc="8E98BF94">
      <w:start w:val="2017"/>
      <w:numFmt w:val="bullet"/>
      <w:lvlText w:val="-"/>
      <w:lvlJc w:val="left"/>
      <w:pPr>
        <w:ind w:left="1571" w:hanging="360"/>
      </w:pPr>
      <w:rPr>
        <w:rFonts w:ascii="Garamond" w:eastAsiaTheme="minorEastAsia" w:hAnsi="Garamond" w:cstheme="minorBidi"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2" w15:restartNumberingAfterBreak="0">
    <w:nsid w:val="7E6A6D7A"/>
    <w:multiLevelType w:val="hybridMultilevel"/>
    <w:tmpl w:val="40B83FA4"/>
    <w:lvl w:ilvl="0" w:tplc="8E98BF94">
      <w:start w:val="2017"/>
      <w:numFmt w:val="bullet"/>
      <w:lvlText w:val="-"/>
      <w:lvlJc w:val="left"/>
      <w:pPr>
        <w:ind w:left="1712" w:hanging="360"/>
      </w:pPr>
      <w:rPr>
        <w:rFonts w:ascii="Garamond" w:eastAsiaTheme="minorEastAsia" w:hAnsi="Garamond" w:cstheme="minorBidi"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num w:numId="1">
    <w:abstractNumId w:val="10"/>
  </w:num>
  <w:num w:numId="2">
    <w:abstractNumId w:val="1"/>
  </w:num>
  <w:num w:numId="3">
    <w:abstractNumId w:val="6"/>
  </w:num>
  <w:num w:numId="4">
    <w:abstractNumId w:val="2"/>
  </w:num>
  <w:num w:numId="5">
    <w:abstractNumId w:val="0"/>
  </w:num>
  <w:num w:numId="6">
    <w:abstractNumId w:val="12"/>
  </w:num>
  <w:num w:numId="7">
    <w:abstractNumId w:val="11"/>
  </w:num>
  <w:num w:numId="8">
    <w:abstractNumId w:val="7"/>
  </w:num>
  <w:num w:numId="9">
    <w:abstractNumId w:val="3"/>
  </w:num>
  <w:num w:numId="10">
    <w:abstractNumId w:val="5"/>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83"/>
    <w:rsid w:val="000020F8"/>
    <w:rsid w:val="00002A17"/>
    <w:rsid w:val="00003FD1"/>
    <w:rsid w:val="0000422C"/>
    <w:rsid w:val="00006BB5"/>
    <w:rsid w:val="00007D07"/>
    <w:rsid w:val="000145ED"/>
    <w:rsid w:val="00014613"/>
    <w:rsid w:val="00020897"/>
    <w:rsid w:val="000212D0"/>
    <w:rsid w:val="00021ABD"/>
    <w:rsid w:val="00021B48"/>
    <w:rsid w:val="000222BE"/>
    <w:rsid w:val="000246D2"/>
    <w:rsid w:val="000260A2"/>
    <w:rsid w:val="00026726"/>
    <w:rsid w:val="00027283"/>
    <w:rsid w:val="00030D1B"/>
    <w:rsid w:val="000321F7"/>
    <w:rsid w:val="00037843"/>
    <w:rsid w:val="00040DA7"/>
    <w:rsid w:val="00041E51"/>
    <w:rsid w:val="00043399"/>
    <w:rsid w:val="00047310"/>
    <w:rsid w:val="000515B2"/>
    <w:rsid w:val="00062D34"/>
    <w:rsid w:val="00066CC4"/>
    <w:rsid w:val="0006725C"/>
    <w:rsid w:val="00067835"/>
    <w:rsid w:val="00067A02"/>
    <w:rsid w:val="0007054B"/>
    <w:rsid w:val="00073C34"/>
    <w:rsid w:val="000763B5"/>
    <w:rsid w:val="00080B1F"/>
    <w:rsid w:val="00080F88"/>
    <w:rsid w:val="0008444B"/>
    <w:rsid w:val="00092253"/>
    <w:rsid w:val="00093F95"/>
    <w:rsid w:val="00096D23"/>
    <w:rsid w:val="00097FD6"/>
    <w:rsid w:val="000A002E"/>
    <w:rsid w:val="000A10AC"/>
    <w:rsid w:val="000A39BD"/>
    <w:rsid w:val="000A4325"/>
    <w:rsid w:val="000A54B5"/>
    <w:rsid w:val="000A5A9A"/>
    <w:rsid w:val="000A7146"/>
    <w:rsid w:val="000A7F55"/>
    <w:rsid w:val="000B20C7"/>
    <w:rsid w:val="000B3DD3"/>
    <w:rsid w:val="000B6682"/>
    <w:rsid w:val="000B6A55"/>
    <w:rsid w:val="000B6A8F"/>
    <w:rsid w:val="000B7EAF"/>
    <w:rsid w:val="000C4806"/>
    <w:rsid w:val="000C5B34"/>
    <w:rsid w:val="000C735C"/>
    <w:rsid w:val="000D0466"/>
    <w:rsid w:val="000D1AE4"/>
    <w:rsid w:val="000D2746"/>
    <w:rsid w:val="000D28E2"/>
    <w:rsid w:val="000D312F"/>
    <w:rsid w:val="000D6D5D"/>
    <w:rsid w:val="000E2119"/>
    <w:rsid w:val="000E2499"/>
    <w:rsid w:val="000E365C"/>
    <w:rsid w:val="000E432D"/>
    <w:rsid w:val="000E45CB"/>
    <w:rsid w:val="000F1F96"/>
    <w:rsid w:val="000F32F8"/>
    <w:rsid w:val="000F47C4"/>
    <w:rsid w:val="001011F5"/>
    <w:rsid w:val="001026D9"/>
    <w:rsid w:val="0010297C"/>
    <w:rsid w:val="001030E5"/>
    <w:rsid w:val="00104064"/>
    <w:rsid w:val="001040A3"/>
    <w:rsid w:val="00106323"/>
    <w:rsid w:val="00106356"/>
    <w:rsid w:val="00112F08"/>
    <w:rsid w:val="00114A56"/>
    <w:rsid w:val="001179B1"/>
    <w:rsid w:val="001228CE"/>
    <w:rsid w:val="00126C03"/>
    <w:rsid w:val="00126FDD"/>
    <w:rsid w:val="0012741A"/>
    <w:rsid w:val="0013079C"/>
    <w:rsid w:val="00132BA4"/>
    <w:rsid w:val="00135DAA"/>
    <w:rsid w:val="00137358"/>
    <w:rsid w:val="00142B06"/>
    <w:rsid w:val="00144CF1"/>
    <w:rsid w:val="001517E5"/>
    <w:rsid w:val="00155C52"/>
    <w:rsid w:val="001576BA"/>
    <w:rsid w:val="0016378E"/>
    <w:rsid w:val="0016404C"/>
    <w:rsid w:val="0016774C"/>
    <w:rsid w:val="0017073B"/>
    <w:rsid w:val="00170E36"/>
    <w:rsid w:val="001712DB"/>
    <w:rsid w:val="00173576"/>
    <w:rsid w:val="00173FDF"/>
    <w:rsid w:val="00176184"/>
    <w:rsid w:val="0017771D"/>
    <w:rsid w:val="00177CF9"/>
    <w:rsid w:val="001863D4"/>
    <w:rsid w:val="00190164"/>
    <w:rsid w:val="00190F2A"/>
    <w:rsid w:val="00191C53"/>
    <w:rsid w:val="00193978"/>
    <w:rsid w:val="00194284"/>
    <w:rsid w:val="001A1A4D"/>
    <w:rsid w:val="001A2DB6"/>
    <w:rsid w:val="001A3DF2"/>
    <w:rsid w:val="001A569D"/>
    <w:rsid w:val="001A5949"/>
    <w:rsid w:val="001B01EB"/>
    <w:rsid w:val="001B191C"/>
    <w:rsid w:val="001B1E69"/>
    <w:rsid w:val="001B20FE"/>
    <w:rsid w:val="001B6B8E"/>
    <w:rsid w:val="001B75CC"/>
    <w:rsid w:val="001B7C48"/>
    <w:rsid w:val="001C04CE"/>
    <w:rsid w:val="001C05DA"/>
    <w:rsid w:val="001C52F4"/>
    <w:rsid w:val="001D3C27"/>
    <w:rsid w:val="001D3C39"/>
    <w:rsid w:val="001E0DAD"/>
    <w:rsid w:val="001E2BCD"/>
    <w:rsid w:val="001E67D9"/>
    <w:rsid w:val="001E6CDC"/>
    <w:rsid w:val="00203B7A"/>
    <w:rsid w:val="00207798"/>
    <w:rsid w:val="002106FF"/>
    <w:rsid w:val="00211505"/>
    <w:rsid w:val="00211BFD"/>
    <w:rsid w:val="002134CD"/>
    <w:rsid w:val="00213F87"/>
    <w:rsid w:val="00217190"/>
    <w:rsid w:val="00217EE6"/>
    <w:rsid w:val="002235FF"/>
    <w:rsid w:val="00224669"/>
    <w:rsid w:val="0022729C"/>
    <w:rsid w:val="0022790B"/>
    <w:rsid w:val="00230148"/>
    <w:rsid w:val="002303F8"/>
    <w:rsid w:val="00233497"/>
    <w:rsid w:val="00233705"/>
    <w:rsid w:val="002366A6"/>
    <w:rsid w:val="00237600"/>
    <w:rsid w:val="00240AFB"/>
    <w:rsid w:val="0024578C"/>
    <w:rsid w:val="00245851"/>
    <w:rsid w:val="0025022F"/>
    <w:rsid w:val="00256158"/>
    <w:rsid w:val="00256855"/>
    <w:rsid w:val="00263D74"/>
    <w:rsid w:val="00264EEA"/>
    <w:rsid w:val="00266657"/>
    <w:rsid w:val="00270E2C"/>
    <w:rsid w:val="0027212B"/>
    <w:rsid w:val="00275C36"/>
    <w:rsid w:val="00275C6A"/>
    <w:rsid w:val="00280EA8"/>
    <w:rsid w:val="00284820"/>
    <w:rsid w:val="002924A8"/>
    <w:rsid w:val="002966B5"/>
    <w:rsid w:val="00296D6D"/>
    <w:rsid w:val="002A02F2"/>
    <w:rsid w:val="002A262B"/>
    <w:rsid w:val="002A45F9"/>
    <w:rsid w:val="002A5E44"/>
    <w:rsid w:val="002A6CDD"/>
    <w:rsid w:val="002A713E"/>
    <w:rsid w:val="002A780C"/>
    <w:rsid w:val="002B01E5"/>
    <w:rsid w:val="002B0387"/>
    <w:rsid w:val="002B07FD"/>
    <w:rsid w:val="002B14BF"/>
    <w:rsid w:val="002B4815"/>
    <w:rsid w:val="002B659B"/>
    <w:rsid w:val="002C004A"/>
    <w:rsid w:val="002C0A47"/>
    <w:rsid w:val="002C0E08"/>
    <w:rsid w:val="002C15A3"/>
    <w:rsid w:val="002C187B"/>
    <w:rsid w:val="002C1D99"/>
    <w:rsid w:val="002D192C"/>
    <w:rsid w:val="002D1AF7"/>
    <w:rsid w:val="002D1B74"/>
    <w:rsid w:val="002D276C"/>
    <w:rsid w:val="002D74B9"/>
    <w:rsid w:val="002E3079"/>
    <w:rsid w:val="002E672E"/>
    <w:rsid w:val="002E707C"/>
    <w:rsid w:val="002F112C"/>
    <w:rsid w:val="002F1291"/>
    <w:rsid w:val="002F3717"/>
    <w:rsid w:val="002F3E62"/>
    <w:rsid w:val="003008C7"/>
    <w:rsid w:val="00300D5B"/>
    <w:rsid w:val="00302256"/>
    <w:rsid w:val="00303692"/>
    <w:rsid w:val="00304717"/>
    <w:rsid w:val="00305ADB"/>
    <w:rsid w:val="00306388"/>
    <w:rsid w:val="003106A9"/>
    <w:rsid w:val="00310ACC"/>
    <w:rsid w:val="00311977"/>
    <w:rsid w:val="00313C54"/>
    <w:rsid w:val="003143D0"/>
    <w:rsid w:val="00317524"/>
    <w:rsid w:val="003176BF"/>
    <w:rsid w:val="003217AA"/>
    <w:rsid w:val="00321C5D"/>
    <w:rsid w:val="0032564D"/>
    <w:rsid w:val="003256BC"/>
    <w:rsid w:val="00326977"/>
    <w:rsid w:val="00327105"/>
    <w:rsid w:val="00327ABE"/>
    <w:rsid w:val="00330147"/>
    <w:rsid w:val="00332927"/>
    <w:rsid w:val="0033317F"/>
    <w:rsid w:val="00333819"/>
    <w:rsid w:val="00335EE5"/>
    <w:rsid w:val="003372A1"/>
    <w:rsid w:val="00337484"/>
    <w:rsid w:val="003378F7"/>
    <w:rsid w:val="0034046E"/>
    <w:rsid w:val="00340F4B"/>
    <w:rsid w:val="003413E4"/>
    <w:rsid w:val="003423C2"/>
    <w:rsid w:val="0035142D"/>
    <w:rsid w:val="00353DF1"/>
    <w:rsid w:val="00354190"/>
    <w:rsid w:val="00357223"/>
    <w:rsid w:val="0035747A"/>
    <w:rsid w:val="00363403"/>
    <w:rsid w:val="003635C9"/>
    <w:rsid w:val="0036412E"/>
    <w:rsid w:val="003654F8"/>
    <w:rsid w:val="00367788"/>
    <w:rsid w:val="00367F2A"/>
    <w:rsid w:val="00371ED2"/>
    <w:rsid w:val="0037403F"/>
    <w:rsid w:val="00374538"/>
    <w:rsid w:val="00376205"/>
    <w:rsid w:val="00381EDE"/>
    <w:rsid w:val="00384921"/>
    <w:rsid w:val="00384E57"/>
    <w:rsid w:val="003859F9"/>
    <w:rsid w:val="003864FB"/>
    <w:rsid w:val="003866F4"/>
    <w:rsid w:val="00390147"/>
    <w:rsid w:val="00394331"/>
    <w:rsid w:val="00394B97"/>
    <w:rsid w:val="0039642D"/>
    <w:rsid w:val="003A0761"/>
    <w:rsid w:val="003A18A2"/>
    <w:rsid w:val="003A3000"/>
    <w:rsid w:val="003A4E73"/>
    <w:rsid w:val="003A4EFB"/>
    <w:rsid w:val="003A54ED"/>
    <w:rsid w:val="003A5FA3"/>
    <w:rsid w:val="003B0C9F"/>
    <w:rsid w:val="003B50B4"/>
    <w:rsid w:val="003C1143"/>
    <w:rsid w:val="003C1A6D"/>
    <w:rsid w:val="003C6FEA"/>
    <w:rsid w:val="003D218A"/>
    <w:rsid w:val="003D487B"/>
    <w:rsid w:val="003E03B3"/>
    <w:rsid w:val="003E4E7D"/>
    <w:rsid w:val="003E5441"/>
    <w:rsid w:val="003E5C7D"/>
    <w:rsid w:val="003E6DD6"/>
    <w:rsid w:val="003F00EA"/>
    <w:rsid w:val="003F11A7"/>
    <w:rsid w:val="003F1C52"/>
    <w:rsid w:val="003F3437"/>
    <w:rsid w:val="003F440A"/>
    <w:rsid w:val="003F6461"/>
    <w:rsid w:val="004007A0"/>
    <w:rsid w:val="00400987"/>
    <w:rsid w:val="004065C6"/>
    <w:rsid w:val="004110CF"/>
    <w:rsid w:val="00411C97"/>
    <w:rsid w:val="00412D9C"/>
    <w:rsid w:val="0041624F"/>
    <w:rsid w:val="00416687"/>
    <w:rsid w:val="00425409"/>
    <w:rsid w:val="00425B6A"/>
    <w:rsid w:val="00431432"/>
    <w:rsid w:val="00431B05"/>
    <w:rsid w:val="004365CB"/>
    <w:rsid w:val="00437162"/>
    <w:rsid w:val="00440C57"/>
    <w:rsid w:val="004411EB"/>
    <w:rsid w:val="00450963"/>
    <w:rsid w:val="00454549"/>
    <w:rsid w:val="00460238"/>
    <w:rsid w:val="00463138"/>
    <w:rsid w:val="004640B1"/>
    <w:rsid w:val="004667AD"/>
    <w:rsid w:val="004715E1"/>
    <w:rsid w:val="00472D60"/>
    <w:rsid w:val="00474A70"/>
    <w:rsid w:val="00477DB3"/>
    <w:rsid w:val="0048339C"/>
    <w:rsid w:val="004834ED"/>
    <w:rsid w:val="004854A7"/>
    <w:rsid w:val="00487557"/>
    <w:rsid w:val="00487BB8"/>
    <w:rsid w:val="0049243E"/>
    <w:rsid w:val="004A2225"/>
    <w:rsid w:val="004A3895"/>
    <w:rsid w:val="004A634E"/>
    <w:rsid w:val="004A74B5"/>
    <w:rsid w:val="004B0E3F"/>
    <w:rsid w:val="004C402D"/>
    <w:rsid w:val="004C4542"/>
    <w:rsid w:val="004C5E7C"/>
    <w:rsid w:val="004C7230"/>
    <w:rsid w:val="004D237A"/>
    <w:rsid w:val="004D2C19"/>
    <w:rsid w:val="004D653A"/>
    <w:rsid w:val="004E309E"/>
    <w:rsid w:val="004E5466"/>
    <w:rsid w:val="004E6600"/>
    <w:rsid w:val="004E6705"/>
    <w:rsid w:val="004E70E5"/>
    <w:rsid w:val="004E7132"/>
    <w:rsid w:val="004F1484"/>
    <w:rsid w:val="004F49F3"/>
    <w:rsid w:val="004F4A46"/>
    <w:rsid w:val="005008D3"/>
    <w:rsid w:val="00500BF3"/>
    <w:rsid w:val="00502E06"/>
    <w:rsid w:val="00503B2B"/>
    <w:rsid w:val="00503BC7"/>
    <w:rsid w:val="00504B23"/>
    <w:rsid w:val="0050751A"/>
    <w:rsid w:val="00507D8C"/>
    <w:rsid w:val="00510B4D"/>
    <w:rsid w:val="005141C6"/>
    <w:rsid w:val="00514372"/>
    <w:rsid w:val="00515032"/>
    <w:rsid w:val="005173D4"/>
    <w:rsid w:val="005177D8"/>
    <w:rsid w:val="00521A74"/>
    <w:rsid w:val="005233CE"/>
    <w:rsid w:val="0052373F"/>
    <w:rsid w:val="00523C82"/>
    <w:rsid w:val="00530949"/>
    <w:rsid w:val="0053494B"/>
    <w:rsid w:val="00540A44"/>
    <w:rsid w:val="00540FE9"/>
    <w:rsid w:val="00541FD8"/>
    <w:rsid w:val="005445DC"/>
    <w:rsid w:val="0054482E"/>
    <w:rsid w:val="00550C02"/>
    <w:rsid w:val="005514E1"/>
    <w:rsid w:val="0055680B"/>
    <w:rsid w:val="00557E58"/>
    <w:rsid w:val="00560140"/>
    <w:rsid w:val="00562E17"/>
    <w:rsid w:val="00565860"/>
    <w:rsid w:val="00565905"/>
    <w:rsid w:val="00565BBB"/>
    <w:rsid w:val="005709B4"/>
    <w:rsid w:val="005714EF"/>
    <w:rsid w:val="00572495"/>
    <w:rsid w:val="005752E3"/>
    <w:rsid w:val="00576B81"/>
    <w:rsid w:val="00576C50"/>
    <w:rsid w:val="005867A5"/>
    <w:rsid w:val="0059038C"/>
    <w:rsid w:val="00590DFB"/>
    <w:rsid w:val="005927FC"/>
    <w:rsid w:val="00595742"/>
    <w:rsid w:val="005A03A8"/>
    <w:rsid w:val="005A2CB0"/>
    <w:rsid w:val="005A55C5"/>
    <w:rsid w:val="005A7CE2"/>
    <w:rsid w:val="005A7E8D"/>
    <w:rsid w:val="005B21BB"/>
    <w:rsid w:val="005B30E1"/>
    <w:rsid w:val="005B32E9"/>
    <w:rsid w:val="005B43C1"/>
    <w:rsid w:val="005B471B"/>
    <w:rsid w:val="005B520A"/>
    <w:rsid w:val="005C04F5"/>
    <w:rsid w:val="005C0997"/>
    <w:rsid w:val="005C1A31"/>
    <w:rsid w:val="005C1EB6"/>
    <w:rsid w:val="005C5988"/>
    <w:rsid w:val="005C63E4"/>
    <w:rsid w:val="005D23B0"/>
    <w:rsid w:val="005D2C46"/>
    <w:rsid w:val="005D5612"/>
    <w:rsid w:val="005E3D90"/>
    <w:rsid w:val="005E62B2"/>
    <w:rsid w:val="005F384A"/>
    <w:rsid w:val="005F4E0F"/>
    <w:rsid w:val="006006BD"/>
    <w:rsid w:val="0060071A"/>
    <w:rsid w:val="00602D39"/>
    <w:rsid w:val="006049B0"/>
    <w:rsid w:val="00605F4F"/>
    <w:rsid w:val="0060658B"/>
    <w:rsid w:val="00612B0A"/>
    <w:rsid w:val="0061355E"/>
    <w:rsid w:val="00613CE9"/>
    <w:rsid w:val="00615DE1"/>
    <w:rsid w:val="00616448"/>
    <w:rsid w:val="0061697B"/>
    <w:rsid w:val="00616D9E"/>
    <w:rsid w:val="00620032"/>
    <w:rsid w:val="0062744C"/>
    <w:rsid w:val="006324FD"/>
    <w:rsid w:val="006337CC"/>
    <w:rsid w:val="006340E2"/>
    <w:rsid w:val="0063514B"/>
    <w:rsid w:val="00635A60"/>
    <w:rsid w:val="006372B3"/>
    <w:rsid w:val="00637951"/>
    <w:rsid w:val="0064378C"/>
    <w:rsid w:val="0064692B"/>
    <w:rsid w:val="006539A0"/>
    <w:rsid w:val="006551C2"/>
    <w:rsid w:val="006603E5"/>
    <w:rsid w:val="00660EAF"/>
    <w:rsid w:val="0066260A"/>
    <w:rsid w:val="00662EB1"/>
    <w:rsid w:val="00663F61"/>
    <w:rsid w:val="00664F7F"/>
    <w:rsid w:val="00666C90"/>
    <w:rsid w:val="00667A7D"/>
    <w:rsid w:val="00667BC0"/>
    <w:rsid w:val="00674507"/>
    <w:rsid w:val="00675EB8"/>
    <w:rsid w:val="00681361"/>
    <w:rsid w:val="00681F91"/>
    <w:rsid w:val="00685ABA"/>
    <w:rsid w:val="00687946"/>
    <w:rsid w:val="006879AF"/>
    <w:rsid w:val="006909A6"/>
    <w:rsid w:val="006933DF"/>
    <w:rsid w:val="006B059F"/>
    <w:rsid w:val="006B3EFA"/>
    <w:rsid w:val="006B49BD"/>
    <w:rsid w:val="006B7F33"/>
    <w:rsid w:val="006C365E"/>
    <w:rsid w:val="006C3AAF"/>
    <w:rsid w:val="006C4EE2"/>
    <w:rsid w:val="006C55B6"/>
    <w:rsid w:val="006D0C2C"/>
    <w:rsid w:val="006D7B0F"/>
    <w:rsid w:val="006E08C3"/>
    <w:rsid w:val="006E176B"/>
    <w:rsid w:val="006E48B6"/>
    <w:rsid w:val="006E619A"/>
    <w:rsid w:val="006F2C0E"/>
    <w:rsid w:val="006F3FC6"/>
    <w:rsid w:val="006F4A45"/>
    <w:rsid w:val="006F53F6"/>
    <w:rsid w:val="006F6C5E"/>
    <w:rsid w:val="006F6DCE"/>
    <w:rsid w:val="007023E4"/>
    <w:rsid w:val="00706054"/>
    <w:rsid w:val="00706B40"/>
    <w:rsid w:val="00712F58"/>
    <w:rsid w:val="00715758"/>
    <w:rsid w:val="00721641"/>
    <w:rsid w:val="00724A50"/>
    <w:rsid w:val="0072738D"/>
    <w:rsid w:val="00727943"/>
    <w:rsid w:val="0073077F"/>
    <w:rsid w:val="00734FCD"/>
    <w:rsid w:val="00736242"/>
    <w:rsid w:val="00736D41"/>
    <w:rsid w:val="00736DF2"/>
    <w:rsid w:val="007401B5"/>
    <w:rsid w:val="007412D2"/>
    <w:rsid w:val="00743446"/>
    <w:rsid w:val="0074447B"/>
    <w:rsid w:val="00747919"/>
    <w:rsid w:val="007503D7"/>
    <w:rsid w:val="0075145D"/>
    <w:rsid w:val="00757033"/>
    <w:rsid w:val="00757185"/>
    <w:rsid w:val="00767905"/>
    <w:rsid w:val="0077022C"/>
    <w:rsid w:val="00770498"/>
    <w:rsid w:val="00771936"/>
    <w:rsid w:val="00772101"/>
    <w:rsid w:val="00772222"/>
    <w:rsid w:val="007730BC"/>
    <w:rsid w:val="00773B1C"/>
    <w:rsid w:val="007746D1"/>
    <w:rsid w:val="00774BE9"/>
    <w:rsid w:val="00774F30"/>
    <w:rsid w:val="00776388"/>
    <w:rsid w:val="0077729F"/>
    <w:rsid w:val="007842D2"/>
    <w:rsid w:val="00790D9E"/>
    <w:rsid w:val="00791158"/>
    <w:rsid w:val="0079137B"/>
    <w:rsid w:val="007945A7"/>
    <w:rsid w:val="007A2E40"/>
    <w:rsid w:val="007A4F40"/>
    <w:rsid w:val="007A5E31"/>
    <w:rsid w:val="007B1867"/>
    <w:rsid w:val="007B1E5B"/>
    <w:rsid w:val="007B23C1"/>
    <w:rsid w:val="007B76A1"/>
    <w:rsid w:val="007B7D69"/>
    <w:rsid w:val="007C5423"/>
    <w:rsid w:val="007C5623"/>
    <w:rsid w:val="007C6696"/>
    <w:rsid w:val="007D0EC4"/>
    <w:rsid w:val="007D3C8C"/>
    <w:rsid w:val="007D4FBD"/>
    <w:rsid w:val="007D5021"/>
    <w:rsid w:val="007D5587"/>
    <w:rsid w:val="007D6185"/>
    <w:rsid w:val="007D635D"/>
    <w:rsid w:val="007D7A41"/>
    <w:rsid w:val="007D7F1A"/>
    <w:rsid w:val="007E0251"/>
    <w:rsid w:val="007E4604"/>
    <w:rsid w:val="007E4632"/>
    <w:rsid w:val="007E4763"/>
    <w:rsid w:val="007E4C31"/>
    <w:rsid w:val="007E677B"/>
    <w:rsid w:val="007E70B9"/>
    <w:rsid w:val="007F0502"/>
    <w:rsid w:val="007F693F"/>
    <w:rsid w:val="007F7CEC"/>
    <w:rsid w:val="0080389B"/>
    <w:rsid w:val="0080637A"/>
    <w:rsid w:val="00806C8F"/>
    <w:rsid w:val="00815545"/>
    <w:rsid w:val="008160FC"/>
    <w:rsid w:val="0081653B"/>
    <w:rsid w:val="00820414"/>
    <w:rsid w:val="00823423"/>
    <w:rsid w:val="00826A3F"/>
    <w:rsid w:val="00827E3F"/>
    <w:rsid w:val="0083573B"/>
    <w:rsid w:val="00842F9A"/>
    <w:rsid w:val="008430E7"/>
    <w:rsid w:val="00843138"/>
    <w:rsid w:val="00844294"/>
    <w:rsid w:val="0084700D"/>
    <w:rsid w:val="00851A57"/>
    <w:rsid w:val="0085666C"/>
    <w:rsid w:val="00860885"/>
    <w:rsid w:val="008641A3"/>
    <w:rsid w:val="008647F8"/>
    <w:rsid w:val="00872C79"/>
    <w:rsid w:val="0088154D"/>
    <w:rsid w:val="00884467"/>
    <w:rsid w:val="00891C83"/>
    <w:rsid w:val="008A1C97"/>
    <w:rsid w:val="008A2199"/>
    <w:rsid w:val="008B3629"/>
    <w:rsid w:val="008B41A6"/>
    <w:rsid w:val="008B66C9"/>
    <w:rsid w:val="008C0B8D"/>
    <w:rsid w:val="008C4866"/>
    <w:rsid w:val="008C4EBD"/>
    <w:rsid w:val="008D08CC"/>
    <w:rsid w:val="008D2FEB"/>
    <w:rsid w:val="008D45E6"/>
    <w:rsid w:val="008D47BF"/>
    <w:rsid w:val="008D64D8"/>
    <w:rsid w:val="008D6A2C"/>
    <w:rsid w:val="008E2752"/>
    <w:rsid w:val="008E45DE"/>
    <w:rsid w:val="008E5A46"/>
    <w:rsid w:val="008E6FAF"/>
    <w:rsid w:val="008F40C5"/>
    <w:rsid w:val="008F4640"/>
    <w:rsid w:val="008F4D2B"/>
    <w:rsid w:val="008F56B9"/>
    <w:rsid w:val="008F593D"/>
    <w:rsid w:val="008F5B82"/>
    <w:rsid w:val="008F62B9"/>
    <w:rsid w:val="00900578"/>
    <w:rsid w:val="0090092C"/>
    <w:rsid w:val="00907AD6"/>
    <w:rsid w:val="009101CE"/>
    <w:rsid w:val="00910767"/>
    <w:rsid w:val="00913F57"/>
    <w:rsid w:val="009140EB"/>
    <w:rsid w:val="009143A1"/>
    <w:rsid w:val="009152ED"/>
    <w:rsid w:val="0092115B"/>
    <w:rsid w:val="009217F3"/>
    <w:rsid w:val="009246D1"/>
    <w:rsid w:val="00924AD6"/>
    <w:rsid w:val="00925219"/>
    <w:rsid w:val="00925304"/>
    <w:rsid w:val="00927366"/>
    <w:rsid w:val="00930E38"/>
    <w:rsid w:val="009325ED"/>
    <w:rsid w:val="00933C5C"/>
    <w:rsid w:val="009512EC"/>
    <w:rsid w:val="00951C44"/>
    <w:rsid w:val="00952C38"/>
    <w:rsid w:val="009545F9"/>
    <w:rsid w:val="00956302"/>
    <w:rsid w:val="0096272F"/>
    <w:rsid w:val="00962E1D"/>
    <w:rsid w:val="0096658A"/>
    <w:rsid w:val="0096798B"/>
    <w:rsid w:val="0097458A"/>
    <w:rsid w:val="00975599"/>
    <w:rsid w:val="00976D55"/>
    <w:rsid w:val="0097770A"/>
    <w:rsid w:val="00977C20"/>
    <w:rsid w:val="00977EF5"/>
    <w:rsid w:val="00980995"/>
    <w:rsid w:val="00982899"/>
    <w:rsid w:val="00985623"/>
    <w:rsid w:val="00990E0F"/>
    <w:rsid w:val="0099106A"/>
    <w:rsid w:val="00992D32"/>
    <w:rsid w:val="009930A5"/>
    <w:rsid w:val="00993AEC"/>
    <w:rsid w:val="0099611F"/>
    <w:rsid w:val="009A0D37"/>
    <w:rsid w:val="009A1706"/>
    <w:rsid w:val="009B013C"/>
    <w:rsid w:val="009B117F"/>
    <w:rsid w:val="009B3A60"/>
    <w:rsid w:val="009B4645"/>
    <w:rsid w:val="009B7842"/>
    <w:rsid w:val="009C24FD"/>
    <w:rsid w:val="009C758F"/>
    <w:rsid w:val="009D0337"/>
    <w:rsid w:val="009D3802"/>
    <w:rsid w:val="009D600E"/>
    <w:rsid w:val="009D6F16"/>
    <w:rsid w:val="009D7690"/>
    <w:rsid w:val="009E2C74"/>
    <w:rsid w:val="009F1218"/>
    <w:rsid w:val="009F1750"/>
    <w:rsid w:val="009F1803"/>
    <w:rsid w:val="009F21CC"/>
    <w:rsid w:val="009F251C"/>
    <w:rsid w:val="009F3AF6"/>
    <w:rsid w:val="00A04819"/>
    <w:rsid w:val="00A0564A"/>
    <w:rsid w:val="00A10399"/>
    <w:rsid w:val="00A106E7"/>
    <w:rsid w:val="00A1128C"/>
    <w:rsid w:val="00A12BCA"/>
    <w:rsid w:val="00A16BB1"/>
    <w:rsid w:val="00A17566"/>
    <w:rsid w:val="00A23099"/>
    <w:rsid w:val="00A24612"/>
    <w:rsid w:val="00A25346"/>
    <w:rsid w:val="00A25356"/>
    <w:rsid w:val="00A2794C"/>
    <w:rsid w:val="00A27A1A"/>
    <w:rsid w:val="00A3479F"/>
    <w:rsid w:val="00A40C3E"/>
    <w:rsid w:val="00A42FB5"/>
    <w:rsid w:val="00A43B75"/>
    <w:rsid w:val="00A46A2B"/>
    <w:rsid w:val="00A46C7D"/>
    <w:rsid w:val="00A47615"/>
    <w:rsid w:val="00A47703"/>
    <w:rsid w:val="00A529E1"/>
    <w:rsid w:val="00A565FA"/>
    <w:rsid w:val="00A56A0D"/>
    <w:rsid w:val="00A6000F"/>
    <w:rsid w:val="00A61D97"/>
    <w:rsid w:val="00A62F8C"/>
    <w:rsid w:val="00A63E9A"/>
    <w:rsid w:val="00A63F8E"/>
    <w:rsid w:val="00A645EF"/>
    <w:rsid w:val="00A70100"/>
    <w:rsid w:val="00A701E5"/>
    <w:rsid w:val="00A75C7B"/>
    <w:rsid w:val="00A805C7"/>
    <w:rsid w:val="00A807E2"/>
    <w:rsid w:val="00A82DBF"/>
    <w:rsid w:val="00A84DBE"/>
    <w:rsid w:val="00A84F1A"/>
    <w:rsid w:val="00A860BE"/>
    <w:rsid w:val="00A86ED8"/>
    <w:rsid w:val="00A9039D"/>
    <w:rsid w:val="00A9163D"/>
    <w:rsid w:val="00A929E3"/>
    <w:rsid w:val="00A92C12"/>
    <w:rsid w:val="00A92F55"/>
    <w:rsid w:val="00A933C6"/>
    <w:rsid w:val="00A97DF7"/>
    <w:rsid w:val="00AA01FE"/>
    <w:rsid w:val="00AA0991"/>
    <w:rsid w:val="00AA4357"/>
    <w:rsid w:val="00AA4359"/>
    <w:rsid w:val="00AA4D5C"/>
    <w:rsid w:val="00AA5EA1"/>
    <w:rsid w:val="00AA5EAB"/>
    <w:rsid w:val="00AA7615"/>
    <w:rsid w:val="00AB1B69"/>
    <w:rsid w:val="00AB2705"/>
    <w:rsid w:val="00AB4301"/>
    <w:rsid w:val="00AC0FD0"/>
    <w:rsid w:val="00AC58FB"/>
    <w:rsid w:val="00AC6824"/>
    <w:rsid w:val="00AC6DDF"/>
    <w:rsid w:val="00AC6DF2"/>
    <w:rsid w:val="00AD0487"/>
    <w:rsid w:val="00AD4906"/>
    <w:rsid w:val="00AD6975"/>
    <w:rsid w:val="00AE59C1"/>
    <w:rsid w:val="00AE7510"/>
    <w:rsid w:val="00AF3E8D"/>
    <w:rsid w:val="00AF556A"/>
    <w:rsid w:val="00AF6475"/>
    <w:rsid w:val="00AF7587"/>
    <w:rsid w:val="00B00660"/>
    <w:rsid w:val="00B00D90"/>
    <w:rsid w:val="00B00E45"/>
    <w:rsid w:val="00B0178C"/>
    <w:rsid w:val="00B04566"/>
    <w:rsid w:val="00B05649"/>
    <w:rsid w:val="00B06109"/>
    <w:rsid w:val="00B130F5"/>
    <w:rsid w:val="00B14974"/>
    <w:rsid w:val="00B16A38"/>
    <w:rsid w:val="00B253CA"/>
    <w:rsid w:val="00B25C49"/>
    <w:rsid w:val="00B26B5B"/>
    <w:rsid w:val="00B275E4"/>
    <w:rsid w:val="00B27BE7"/>
    <w:rsid w:val="00B327D7"/>
    <w:rsid w:val="00B34E69"/>
    <w:rsid w:val="00B34FE8"/>
    <w:rsid w:val="00B36373"/>
    <w:rsid w:val="00B43AAA"/>
    <w:rsid w:val="00B447C0"/>
    <w:rsid w:val="00B51B4D"/>
    <w:rsid w:val="00B53435"/>
    <w:rsid w:val="00B54FA4"/>
    <w:rsid w:val="00B55143"/>
    <w:rsid w:val="00B60A5F"/>
    <w:rsid w:val="00B6156F"/>
    <w:rsid w:val="00B61865"/>
    <w:rsid w:val="00B61C06"/>
    <w:rsid w:val="00B62744"/>
    <w:rsid w:val="00B63B31"/>
    <w:rsid w:val="00B7000B"/>
    <w:rsid w:val="00B72BCA"/>
    <w:rsid w:val="00B73244"/>
    <w:rsid w:val="00B75841"/>
    <w:rsid w:val="00B849EB"/>
    <w:rsid w:val="00B85C8D"/>
    <w:rsid w:val="00B9020D"/>
    <w:rsid w:val="00B909F9"/>
    <w:rsid w:val="00B91E70"/>
    <w:rsid w:val="00B92793"/>
    <w:rsid w:val="00B93BB9"/>
    <w:rsid w:val="00B94A67"/>
    <w:rsid w:val="00B95BFA"/>
    <w:rsid w:val="00B95E10"/>
    <w:rsid w:val="00B96FE1"/>
    <w:rsid w:val="00BA1A14"/>
    <w:rsid w:val="00BA334F"/>
    <w:rsid w:val="00BA65D2"/>
    <w:rsid w:val="00BA6BBF"/>
    <w:rsid w:val="00BB19FC"/>
    <w:rsid w:val="00BB251E"/>
    <w:rsid w:val="00BB39D9"/>
    <w:rsid w:val="00BB4ACD"/>
    <w:rsid w:val="00BB599B"/>
    <w:rsid w:val="00BB62B2"/>
    <w:rsid w:val="00BC0B35"/>
    <w:rsid w:val="00BC3450"/>
    <w:rsid w:val="00BC3FE8"/>
    <w:rsid w:val="00BC43F1"/>
    <w:rsid w:val="00BC5535"/>
    <w:rsid w:val="00BC7B11"/>
    <w:rsid w:val="00BC7B1F"/>
    <w:rsid w:val="00BD017F"/>
    <w:rsid w:val="00BD072F"/>
    <w:rsid w:val="00BD5FB8"/>
    <w:rsid w:val="00BE233F"/>
    <w:rsid w:val="00BE2460"/>
    <w:rsid w:val="00BE3BF9"/>
    <w:rsid w:val="00BE4AD0"/>
    <w:rsid w:val="00BE51CA"/>
    <w:rsid w:val="00BE5814"/>
    <w:rsid w:val="00BF7A64"/>
    <w:rsid w:val="00C00105"/>
    <w:rsid w:val="00C01A62"/>
    <w:rsid w:val="00C01F5B"/>
    <w:rsid w:val="00C02243"/>
    <w:rsid w:val="00C05CE0"/>
    <w:rsid w:val="00C06193"/>
    <w:rsid w:val="00C063A5"/>
    <w:rsid w:val="00C11EBC"/>
    <w:rsid w:val="00C16879"/>
    <w:rsid w:val="00C24577"/>
    <w:rsid w:val="00C33D1A"/>
    <w:rsid w:val="00C421EE"/>
    <w:rsid w:val="00C444FC"/>
    <w:rsid w:val="00C47735"/>
    <w:rsid w:val="00C50CC9"/>
    <w:rsid w:val="00C523FD"/>
    <w:rsid w:val="00C53CBC"/>
    <w:rsid w:val="00C55899"/>
    <w:rsid w:val="00C569D1"/>
    <w:rsid w:val="00C63CFE"/>
    <w:rsid w:val="00C66173"/>
    <w:rsid w:val="00C67741"/>
    <w:rsid w:val="00C70681"/>
    <w:rsid w:val="00C73AEF"/>
    <w:rsid w:val="00C748D6"/>
    <w:rsid w:val="00C81AE1"/>
    <w:rsid w:val="00C851D2"/>
    <w:rsid w:val="00C92175"/>
    <w:rsid w:val="00C93BF4"/>
    <w:rsid w:val="00C95033"/>
    <w:rsid w:val="00C96169"/>
    <w:rsid w:val="00C96845"/>
    <w:rsid w:val="00C9751C"/>
    <w:rsid w:val="00C9776F"/>
    <w:rsid w:val="00CA0151"/>
    <w:rsid w:val="00CA052E"/>
    <w:rsid w:val="00CA3F3F"/>
    <w:rsid w:val="00CA50D2"/>
    <w:rsid w:val="00CA7B94"/>
    <w:rsid w:val="00CB0032"/>
    <w:rsid w:val="00CB2190"/>
    <w:rsid w:val="00CB2E27"/>
    <w:rsid w:val="00CB3A2D"/>
    <w:rsid w:val="00CB5F53"/>
    <w:rsid w:val="00CC0E1A"/>
    <w:rsid w:val="00CC266A"/>
    <w:rsid w:val="00CC4152"/>
    <w:rsid w:val="00CC56D6"/>
    <w:rsid w:val="00CC739C"/>
    <w:rsid w:val="00CD2882"/>
    <w:rsid w:val="00CD3266"/>
    <w:rsid w:val="00CD6C2C"/>
    <w:rsid w:val="00CE1CC5"/>
    <w:rsid w:val="00CE1EBC"/>
    <w:rsid w:val="00CE28ED"/>
    <w:rsid w:val="00CE31B7"/>
    <w:rsid w:val="00CE40EF"/>
    <w:rsid w:val="00CE5CB8"/>
    <w:rsid w:val="00CE78A3"/>
    <w:rsid w:val="00CE7DDB"/>
    <w:rsid w:val="00CF23A9"/>
    <w:rsid w:val="00CF2E39"/>
    <w:rsid w:val="00D024D7"/>
    <w:rsid w:val="00D02D1C"/>
    <w:rsid w:val="00D038FE"/>
    <w:rsid w:val="00D04AE2"/>
    <w:rsid w:val="00D07AC0"/>
    <w:rsid w:val="00D11977"/>
    <w:rsid w:val="00D14841"/>
    <w:rsid w:val="00D1740A"/>
    <w:rsid w:val="00D202B3"/>
    <w:rsid w:val="00D209E1"/>
    <w:rsid w:val="00D236C9"/>
    <w:rsid w:val="00D245DC"/>
    <w:rsid w:val="00D27F3F"/>
    <w:rsid w:val="00D313CA"/>
    <w:rsid w:val="00D32D3E"/>
    <w:rsid w:val="00D3374F"/>
    <w:rsid w:val="00D33988"/>
    <w:rsid w:val="00D40A17"/>
    <w:rsid w:val="00D41D59"/>
    <w:rsid w:val="00D41F65"/>
    <w:rsid w:val="00D423C2"/>
    <w:rsid w:val="00D43F23"/>
    <w:rsid w:val="00D449CB"/>
    <w:rsid w:val="00D50954"/>
    <w:rsid w:val="00D53718"/>
    <w:rsid w:val="00D6060B"/>
    <w:rsid w:val="00D60890"/>
    <w:rsid w:val="00D60C32"/>
    <w:rsid w:val="00D6639D"/>
    <w:rsid w:val="00D6683D"/>
    <w:rsid w:val="00D66EEA"/>
    <w:rsid w:val="00D70ED1"/>
    <w:rsid w:val="00D7294E"/>
    <w:rsid w:val="00D75E25"/>
    <w:rsid w:val="00D76E4F"/>
    <w:rsid w:val="00D84978"/>
    <w:rsid w:val="00D86489"/>
    <w:rsid w:val="00D86B08"/>
    <w:rsid w:val="00D91D08"/>
    <w:rsid w:val="00D95C0E"/>
    <w:rsid w:val="00DA3A73"/>
    <w:rsid w:val="00DA643B"/>
    <w:rsid w:val="00DA7D90"/>
    <w:rsid w:val="00DB4A55"/>
    <w:rsid w:val="00DB672A"/>
    <w:rsid w:val="00DC41D6"/>
    <w:rsid w:val="00DD05BC"/>
    <w:rsid w:val="00DD0D52"/>
    <w:rsid w:val="00DD7DE7"/>
    <w:rsid w:val="00DE02DE"/>
    <w:rsid w:val="00DE0A8B"/>
    <w:rsid w:val="00DE3DA0"/>
    <w:rsid w:val="00DE3E5D"/>
    <w:rsid w:val="00DF29C2"/>
    <w:rsid w:val="00DF2CB1"/>
    <w:rsid w:val="00E0255A"/>
    <w:rsid w:val="00E04365"/>
    <w:rsid w:val="00E06EB9"/>
    <w:rsid w:val="00E12593"/>
    <w:rsid w:val="00E149CB"/>
    <w:rsid w:val="00E15306"/>
    <w:rsid w:val="00E22F2A"/>
    <w:rsid w:val="00E25892"/>
    <w:rsid w:val="00E31592"/>
    <w:rsid w:val="00E3351E"/>
    <w:rsid w:val="00E35319"/>
    <w:rsid w:val="00E35B0C"/>
    <w:rsid w:val="00E36182"/>
    <w:rsid w:val="00E37CAA"/>
    <w:rsid w:val="00E40B93"/>
    <w:rsid w:val="00E419C0"/>
    <w:rsid w:val="00E42FCE"/>
    <w:rsid w:val="00E45554"/>
    <w:rsid w:val="00E505E6"/>
    <w:rsid w:val="00E522A0"/>
    <w:rsid w:val="00E522DB"/>
    <w:rsid w:val="00E5302C"/>
    <w:rsid w:val="00E53D51"/>
    <w:rsid w:val="00E542C0"/>
    <w:rsid w:val="00E60240"/>
    <w:rsid w:val="00E60AC5"/>
    <w:rsid w:val="00E6120E"/>
    <w:rsid w:val="00E65357"/>
    <w:rsid w:val="00E65683"/>
    <w:rsid w:val="00E66C04"/>
    <w:rsid w:val="00E66D8B"/>
    <w:rsid w:val="00E67AA9"/>
    <w:rsid w:val="00E73E48"/>
    <w:rsid w:val="00E75A05"/>
    <w:rsid w:val="00E76346"/>
    <w:rsid w:val="00E83E26"/>
    <w:rsid w:val="00E83E3A"/>
    <w:rsid w:val="00E868DB"/>
    <w:rsid w:val="00E86F3C"/>
    <w:rsid w:val="00E870E4"/>
    <w:rsid w:val="00E87533"/>
    <w:rsid w:val="00E96E94"/>
    <w:rsid w:val="00EA6F5E"/>
    <w:rsid w:val="00EB1E99"/>
    <w:rsid w:val="00EB4E03"/>
    <w:rsid w:val="00EB5B01"/>
    <w:rsid w:val="00EB7CE7"/>
    <w:rsid w:val="00EC15EE"/>
    <w:rsid w:val="00EC2280"/>
    <w:rsid w:val="00EC39EB"/>
    <w:rsid w:val="00EC69D8"/>
    <w:rsid w:val="00ED02E0"/>
    <w:rsid w:val="00ED0D31"/>
    <w:rsid w:val="00ED1DAB"/>
    <w:rsid w:val="00ED3084"/>
    <w:rsid w:val="00ED4A53"/>
    <w:rsid w:val="00EE0A83"/>
    <w:rsid w:val="00EE0C9A"/>
    <w:rsid w:val="00EE19A7"/>
    <w:rsid w:val="00EE1DE3"/>
    <w:rsid w:val="00EF209D"/>
    <w:rsid w:val="00EF30D8"/>
    <w:rsid w:val="00EF40B5"/>
    <w:rsid w:val="00EF643C"/>
    <w:rsid w:val="00F00CBA"/>
    <w:rsid w:val="00F04163"/>
    <w:rsid w:val="00F06BAC"/>
    <w:rsid w:val="00F1059D"/>
    <w:rsid w:val="00F10931"/>
    <w:rsid w:val="00F10FE7"/>
    <w:rsid w:val="00F11731"/>
    <w:rsid w:val="00F16C4A"/>
    <w:rsid w:val="00F20116"/>
    <w:rsid w:val="00F2288E"/>
    <w:rsid w:val="00F22B01"/>
    <w:rsid w:val="00F22E12"/>
    <w:rsid w:val="00F24369"/>
    <w:rsid w:val="00F2784E"/>
    <w:rsid w:val="00F301DD"/>
    <w:rsid w:val="00F3022B"/>
    <w:rsid w:val="00F31016"/>
    <w:rsid w:val="00F31153"/>
    <w:rsid w:val="00F318E8"/>
    <w:rsid w:val="00F353BE"/>
    <w:rsid w:val="00F3579A"/>
    <w:rsid w:val="00F44891"/>
    <w:rsid w:val="00F45F57"/>
    <w:rsid w:val="00F514EA"/>
    <w:rsid w:val="00F51C0C"/>
    <w:rsid w:val="00F52073"/>
    <w:rsid w:val="00F52563"/>
    <w:rsid w:val="00F551FE"/>
    <w:rsid w:val="00F55774"/>
    <w:rsid w:val="00F56177"/>
    <w:rsid w:val="00F56EE1"/>
    <w:rsid w:val="00F62C7B"/>
    <w:rsid w:val="00F647D6"/>
    <w:rsid w:val="00F656D0"/>
    <w:rsid w:val="00F66037"/>
    <w:rsid w:val="00F661B4"/>
    <w:rsid w:val="00F6624A"/>
    <w:rsid w:val="00F66AED"/>
    <w:rsid w:val="00F706C2"/>
    <w:rsid w:val="00F71311"/>
    <w:rsid w:val="00F72813"/>
    <w:rsid w:val="00F72EC9"/>
    <w:rsid w:val="00F730B4"/>
    <w:rsid w:val="00F75362"/>
    <w:rsid w:val="00F7656A"/>
    <w:rsid w:val="00F814B5"/>
    <w:rsid w:val="00F81542"/>
    <w:rsid w:val="00F81608"/>
    <w:rsid w:val="00F8287B"/>
    <w:rsid w:val="00F828C8"/>
    <w:rsid w:val="00F83E57"/>
    <w:rsid w:val="00F86208"/>
    <w:rsid w:val="00F878EE"/>
    <w:rsid w:val="00F975A5"/>
    <w:rsid w:val="00FA74B2"/>
    <w:rsid w:val="00FA778A"/>
    <w:rsid w:val="00FB3646"/>
    <w:rsid w:val="00FB3F99"/>
    <w:rsid w:val="00FB7504"/>
    <w:rsid w:val="00FB791E"/>
    <w:rsid w:val="00FC5549"/>
    <w:rsid w:val="00FC5A71"/>
    <w:rsid w:val="00FC6688"/>
    <w:rsid w:val="00FD1A0F"/>
    <w:rsid w:val="00FD27E5"/>
    <w:rsid w:val="00FD61B2"/>
    <w:rsid w:val="00FD74C5"/>
    <w:rsid w:val="00FE2366"/>
    <w:rsid w:val="00FE276F"/>
    <w:rsid w:val="00FE6965"/>
    <w:rsid w:val="00FE7A21"/>
    <w:rsid w:val="00FF04BB"/>
    <w:rsid w:val="00FF12FD"/>
    <w:rsid w:val="00FF1DCD"/>
    <w:rsid w:val="00FF25A4"/>
    <w:rsid w:val="00FF4626"/>
    <w:rsid w:val="00FF6B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43494-C7E3-435E-AC73-D2F1B674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A83"/>
    <w:pPr>
      <w:spacing w:after="320" w:line="300" w:lineRule="auto"/>
    </w:pPr>
    <w:rPr>
      <w:rFonts w:eastAsiaTheme="minorEastAsia"/>
      <w:color w:val="44546A" w:themeColor="text2"/>
      <w:sz w:val="20"/>
      <w:szCs w:val="20"/>
      <w:lang w:val="en-US" w:eastAsia="ja-JP"/>
    </w:rPr>
  </w:style>
  <w:style w:type="paragraph" w:styleId="Heading1">
    <w:name w:val="heading 1"/>
    <w:basedOn w:val="Normal"/>
    <w:next w:val="Normal"/>
    <w:link w:val="Heading1Char"/>
    <w:uiPriority w:val="9"/>
    <w:qFormat/>
    <w:rsid w:val="00EE0A83"/>
    <w:pPr>
      <w:keepNext/>
      <w:keepLines/>
      <w:pBdr>
        <w:bottom w:val="single" w:sz="8" w:space="0" w:color="DEEAF6" w:themeColor="accent1" w:themeTint="33"/>
      </w:pBdr>
      <w:spacing w:after="200"/>
      <w:outlineLvl w:val="0"/>
    </w:pPr>
    <w:rPr>
      <w:rFonts w:asciiTheme="majorHAnsi" w:eastAsiaTheme="majorEastAsia" w:hAnsiTheme="majorHAnsi" w:cstheme="majorBidi"/>
      <w:color w:val="5B9BD5" w:themeColor="accent1"/>
      <w:sz w:val="36"/>
      <w:szCs w:val="36"/>
    </w:rPr>
  </w:style>
  <w:style w:type="paragraph" w:styleId="Heading2">
    <w:name w:val="heading 2"/>
    <w:basedOn w:val="Normal"/>
    <w:next w:val="Normal"/>
    <w:link w:val="Heading2Char"/>
    <w:uiPriority w:val="9"/>
    <w:semiHidden/>
    <w:unhideWhenUsed/>
    <w:qFormat/>
    <w:rsid w:val="00EE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83"/>
    <w:rPr>
      <w:rFonts w:asciiTheme="majorHAnsi" w:eastAsiaTheme="majorEastAsia" w:hAnsiTheme="majorHAnsi" w:cstheme="majorBidi"/>
      <w:color w:val="5B9BD5" w:themeColor="accent1"/>
      <w:sz w:val="36"/>
      <w:szCs w:val="36"/>
      <w:lang w:val="en-US" w:eastAsia="ja-JP"/>
    </w:rPr>
  </w:style>
  <w:style w:type="table" w:styleId="TableGrid">
    <w:name w:val="Table Grid"/>
    <w:basedOn w:val="TableNormal"/>
    <w:uiPriority w:val="39"/>
    <w:rsid w:val="00EE0A83"/>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A83"/>
    <w:pPr>
      <w:spacing w:after="0" w:line="240" w:lineRule="auto"/>
      <w:ind w:left="720"/>
      <w:contextualSpacing/>
    </w:pPr>
    <w:rPr>
      <w:rFonts w:ascii="Times New Roman" w:eastAsia="Times New Roman" w:hAnsi="Times New Roman" w:cs="Times New Roman"/>
      <w:color w:val="auto"/>
      <w:sz w:val="24"/>
      <w:szCs w:val="24"/>
      <w:lang w:val="lv-LV" w:eastAsia="en-US"/>
    </w:rPr>
  </w:style>
  <w:style w:type="paragraph" w:styleId="Header">
    <w:name w:val="header"/>
    <w:basedOn w:val="Normal"/>
    <w:link w:val="HeaderChar"/>
    <w:uiPriority w:val="99"/>
    <w:unhideWhenUsed/>
    <w:rsid w:val="00EE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A83"/>
    <w:rPr>
      <w:rFonts w:eastAsiaTheme="minorEastAsia"/>
      <w:color w:val="44546A" w:themeColor="text2"/>
      <w:sz w:val="20"/>
      <w:szCs w:val="20"/>
      <w:lang w:val="en-US" w:eastAsia="ja-JP"/>
    </w:rPr>
  </w:style>
  <w:style w:type="character" w:styleId="Hyperlink">
    <w:name w:val="Hyperlink"/>
    <w:basedOn w:val="DefaultParagraphFont"/>
    <w:uiPriority w:val="99"/>
    <w:unhideWhenUsed/>
    <w:rsid w:val="00EE0A83"/>
    <w:rPr>
      <w:color w:val="0563C1" w:themeColor="hyperlink"/>
      <w:u w:val="single"/>
    </w:rPr>
  </w:style>
  <w:style w:type="character" w:customStyle="1" w:styleId="FootnoteTextChar">
    <w:name w:val="Footnote Text Char"/>
    <w:basedOn w:val="DefaultParagraphFont"/>
    <w:link w:val="FootnoteText"/>
    <w:uiPriority w:val="99"/>
    <w:rsid w:val="00EE0A83"/>
    <w:rPr>
      <w:rFonts w:eastAsia="Calibri"/>
      <w:sz w:val="24"/>
      <w:szCs w:val="24"/>
      <w:lang w:eastAsia="lv-LV"/>
    </w:rPr>
  </w:style>
  <w:style w:type="paragraph" w:styleId="FootnoteText">
    <w:name w:val="footnote text"/>
    <w:basedOn w:val="Normal"/>
    <w:link w:val="FootnoteTextChar"/>
    <w:uiPriority w:val="99"/>
    <w:rsid w:val="00EE0A83"/>
    <w:pPr>
      <w:spacing w:after="0" w:line="240" w:lineRule="auto"/>
    </w:pPr>
    <w:rPr>
      <w:rFonts w:eastAsia="Calibri"/>
      <w:color w:val="auto"/>
      <w:sz w:val="24"/>
      <w:szCs w:val="24"/>
      <w:lang w:val="lv-LV" w:eastAsia="lv-LV"/>
    </w:rPr>
  </w:style>
  <w:style w:type="character" w:customStyle="1" w:styleId="FootnoteTextChar1">
    <w:name w:val="Footnote Text Char1"/>
    <w:basedOn w:val="DefaultParagraphFont"/>
    <w:uiPriority w:val="99"/>
    <w:semiHidden/>
    <w:rsid w:val="00EE0A83"/>
    <w:rPr>
      <w:rFonts w:eastAsiaTheme="minorEastAsia"/>
      <w:color w:val="44546A" w:themeColor="text2"/>
      <w:sz w:val="20"/>
      <w:szCs w:val="20"/>
      <w:lang w:val="en-US" w:eastAsia="ja-JP"/>
    </w:rPr>
  </w:style>
  <w:style w:type="character" w:styleId="FootnoteReference">
    <w:name w:val="footnote reference"/>
    <w:basedOn w:val="DefaultParagraphFont"/>
    <w:uiPriority w:val="99"/>
    <w:semiHidden/>
    <w:unhideWhenUsed/>
    <w:rsid w:val="00EE0A83"/>
    <w:rPr>
      <w:vertAlign w:val="superscript"/>
    </w:rPr>
  </w:style>
  <w:style w:type="character" w:customStyle="1" w:styleId="Heading2Char">
    <w:name w:val="Heading 2 Char"/>
    <w:basedOn w:val="DefaultParagraphFont"/>
    <w:link w:val="Heading2"/>
    <w:uiPriority w:val="9"/>
    <w:semiHidden/>
    <w:rsid w:val="00EE0A83"/>
    <w:rPr>
      <w:rFonts w:asciiTheme="majorHAnsi" w:eastAsiaTheme="majorEastAsia" w:hAnsiTheme="majorHAnsi" w:cstheme="majorBidi"/>
      <w:color w:val="2E74B5" w:themeColor="accent1" w:themeShade="BF"/>
      <w:sz w:val="26"/>
      <w:szCs w:val="26"/>
      <w:lang w:val="en-US" w:eastAsia="ja-JP"/>
    </w:rPr>
  </w:style>
  <w:style w:type="paragraph" w:styleId="BodyText">
    <w:name w:val="Body Text"/>
    <w:basedOn w:val="Normal"/>
    <w:link w:val="BodyTextChar"/>
    <w:semiHidden/>
    <w:rsid w:val="00EE0A83"/>
    <w:pPr>
      <w:spacing w:after="120" w:line="240" w:lineRule="auto"/>
    </w:pPr>
    <w:rPr>
      <w:rFonts w:ascii="Times New Roman" w:eastAsia="Times New Roman" w:hAnsi="Times New Roman" w:cs="Times New Roman"/>
      <w:color w:val="auto"/>
      <w:sz w:val="24"/>
      <w:szCs w:val="24"/>
      <w:lang w:val="lv-LV" w:eastAsia="lv-LV"/>
    </w:rPr>
  </w:style>
  <w:style w:type="character" w:customStyle="1" w:styleId="BodyTextChar">
    <w:name w:val="Body Text Char"/>
    <w:basedOn w:val="DefaultParagraphFont"/>
    <w:link w:val="BodyText"/>
    <w:semiHidden/>
    <w:rsid w:val="00EE0A83"/>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semiHidden/>
    <w:unhideWhenUsed/>
    <w:rsid w:val="00747919"/>
    <w:pPr>
      <w:spacing w:after="120"/>
    </w:pPr>
    <w:rPr>
      <w:sz w:val="16"/>
      <w:szCs w:val="16"/>
    </w:rPr>
  </w:style>
  <w:style w:type="character" w:customStyle="1" w:styleId="BodyText3Char">
    <w:name w:val="Body Text 3 Char"/>
    <w:basedOn w:val="DefaultParagraphFont"/>
    <w:link w:val="BodyText3"/>
    <w:uiPriority w:val="99"/>
    <w:semiHidden/>
    <w:rsid w:val="00747919"/>
    <w:rPr>
      <w:rFonts w:eastAsiaTheme="minorEastAsia"/>
      <w:color w:val="44546A" w:themeColor="text2"/>
      <w:sz w:val="16"/>
      <w:szCs w:val="16"/>
      <w:lang w:val="en-US" w:eastAsia="ja-JP"/>
    </w:rPr>
  </w:style>
  <w:style w:type="paragraph" w:styleId="NormalWeb">
    <w:name w:val="Normal (Web)"/>
    <w:basedOn w:val="Normal"/>
    <w:uiPriority w:val="99"/>
    <w:rsid w:val="00747919"/>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Normal"/>
    <w:rsid w:val="003F3437"/>
    <w:pPr>
      <w:spacing w:before="100" w:beforeAutospacing="1" w:after="100" w:afterAutospacing="1" w:line="240" w:lineRule="auto"/>
      <w:jc w:val="both"/>
    </w:pPr>
    <w:rPr>
      <w:rFonts w:ascii="Times New Roman" w:eastAsia="Times New Roman" w:hAnsi="Times New Roman" w:cs="Times New Roman"/>
      <w:color w:val="auto"/>
      <w:sz w:val="24"/>
      <w:szCs w:val="24"/>
      <w:lang w:val="lv-LV" w:eastAsia="en-US"/>
    </w:rPr>
  </w:style>
  <w:style w:type="paragraph" w:customStyle="1" w:styleId="naisc">
    <w:name w:val="naisc"/>
    <w:basedOn w:val="Normal"/>
    <w:rsid w:val="003F3437"/>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3E4E7D"/>
  </w:style>
  <w:style w:type="paragraph" w:customStyle="1" w:styleId="BodyTextIndent1">
    <w:name w:val="Body Text Indent1"/>
    <w:basedOn w:val="Normal"/>
    <w:link w:val="BodyTextIndentChar"/>
    <w:rsid w:val="003E4E7D"/>
    <w:pPr>
      <w:spacing w:after="80" w:line="240" w:lineRule="auto"/>
      <w:ind w:firstLine="720"/>
      <w:jc w:val="both"/>
    </w:pPr>
    <w:rPr>
      <w:rFonts w:eastAsiaTheme="minorHAnsi"/>
      <w:color w:val="auto"/>
      <w:sz w:val="22"/>
      <w:szCs w:val="22"/>
      <w:lang w:val="lv-LV" w:eastAsia="en-US"/>
    </w:rPr>
  </w:style>
  <w:style w:type="paragraph" w:styleId="Footer">
    <w:name w:val="footer"/>
    <w:basedOn w:val="Normal"/>
    <w:link w:val="FooterChar"/>
    <w:uiPriority w:val="99"/>
    <w:unhideWhenUsed/>
    <w:rsid w:val="005D23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23B0"/>
    <w:rPr>
      <w:rFonts w:eastAsiaTheme="minorEastAsia"/>
      <w:color w:val="44546A" w:themeColor="text2"/>
      <w:sz w:val="20"/>
      <w:szCs w:val="20"/>
      <w:lang w:val="en-US" w:eastAsia="ja-JP"/>
    </w:rPr>
  </w:style>
  <w:style w:type="character" w:styleId="Strong">
    <w:name w:val="Strong"/>
    <w:basedOn w:val="DefaultParagraphFont"/>
    <w:uiPriority w:val="22"/>
    <w:qFormat/>
    <w:rsid w:val="00224669"/>
    <w:rPr>
      <w:b/>
      <w:bCs/>
      <w:color w:val="000000" w:themeColor="text1"/>
    </w:rPr>
  </w:style>
  <w:style w:type="character" w:customStyle="1" w:styleId="UnresolvedMention">
    <w:name w:val="Unresolved Mention"/>
    <w:basedOn w:val="DefaultParagraphFont"/>
    <w:uiPriority w:val="99"/>
    <w:semiHidden/>
    <w:unhideWhenUsed/>
    <w:rsid w:val="002C187B"/>
    <w:rPr>
      <w:color w:val="605E5C"/>
      <w:shd w:val="clear" w:color="auto" w:fill="E1DFDD"/>
    </w:rPr>
  </w:style>
  <w:style w:type="character" w:styleId="Emphasis">
    <w:name w:val="Emphasis"/>
    <w:basedOn w:val="DefaultParagraphFont"/>
    <w:uiPriority w:val="20"/>
    <w:qFormat/>
    <w:rsid w:val="002E707C"/>
    <w:rPr>
      <w:i/>
      <w:iCs/>
      <w:color w:val="auto"/>
    </w:rPr>
  </w:style>
  <w:style w:type="paragraph" w:customStyle="1" w:styleId="StyleBodyText14ptJustifiedFirstline127cm">
    <w:name w:val="Style Body Text + 14 pt Justified First line:  127 cm"/>
    <w:basedOn w:val="BodyText"/>
    <w:rsid w:val="002E707C"/>
    <w:pPr>
      <w:ind w:firstLine="720"/>
      <w:jc w:val="both"/>
    </w:pPr>
    <w:rPr>
      <w:sz w:val="28"/>
      <w:szCs w:val="20"/>
    </w:rPr>
  </w:style>
  <w:style w:type="paragraph" w:customStyle="1" w:styleId="stylebodytext14ptjustifiedfirstline127cm0">
    <w:name w:val="stylebodytext14ptjustifiedfirstline127cm"/>
    <w:basedOn w:val="Normal"/>
    <w:rsid w:val="002E707C"/>
    <w:pPr>
      <w:spacing w:after="120" w:line="240" w:lineRule="auto"/>
      <w:ind w:firstLine="720"/>
      <w:jc w:val="both"/>
    </w:pPr>
    <w:rPr>
      <w:rFonts w:ascii="Times New Roman" w:eastAsia="Times New Roman" w:hAnsi="Times New Roman" w:cs="Times New Roman"/>
      <w:color w:val="auto"/>
      <w:sz w:val="28"/>
      <w:szCs w:val="28"/>
      <w:lang w:val="lv-LV" w:eastAsia="lv-LV"/>
    </w:rPr>
  </w:style>
  <w:style w:type="character" w:customStyle="1" w:styleId="t35">
    <w:name w:val="t35"/>
    <w:basedOn w:val="DefaultParagraphFont"/>
    <w:rsid w:val="002E707C"/>
  </w:style>
  <w:style w:type="paragraph" w:styleId="BodyTextIndent">
    <w:name w:val="Body Text Indent"/>
    <w:basedOn w:val="Normal"/>
    <w:link w:val="BodyTextIndentChar1"/>
    <w:uiPriority w:val="99"/>
    <w:semiHidden/>
    <w:unhideWhenUsed/>
    <w:rsid w:val="00757033"/>
    <w:pPr>
      <w:spacing w:after="120"/>
      <w:ind w:left="283"/>
    </w:pPr>
  </w:style>
  <w:style w:type="character" w:customStyle="1" w:styleId="BodyTextIndentChar1">
    <w:name w:val="Body Text Indent Char1"/>
    <w:basedOn w:val="DefaultParagraphFont"/>
    <w:link w:val="BodyTextIndent"/>
    <w:uiPriority w:val="99"/>
    <w:semiHidden/>
    <w:rsid w:val="00757033"/>
    <w:rPr>
      <w:rFonts w:eastAsiaTheme="minorEastAsia"/>
      <w:color w:val="44546A" w:themeColor="text2"/>
      <w:sz w:val="20"/>
      <w:szCs w:val="20"/>
      <w:lang w:val="en-US" w:eastAsia="ja-JP"/>
    </w:rPr>
  </w:style>
  <w:style w:type="paragraph" w:customStyle="1" w:styleId="Logo">
    <w:name w:val="Logo"/>
    <w:basedOn w:val="Normal"/>
    <w:uiPriority w:val="99"/>
    <w:unhideWhenUsed/>
    <w:rsid w:val="0096798B"/>
    <w:pPr>
      <w:spacing w:before="600"/>
    </w:pPr>
  </w:style>
  <w:style w:type="paragraph" w:styleId="Title">
    <w:name w:val="Title"/>
    <w:basedOn w:val="Normal"/>
    <w:next w:val="Normal"/>
    <w:link w:val="TitleChar"/>
    <w:uiPriority w:val="10"/>
    <w:qFormat/>
    <w:rsid w:val="0096798B"/>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TitleChar">
    <w:name w:val="Title Char"/>
    <w:basedOn w:val="DefaultParagraphFont"/>
    <w:link w:val="Title"/>
    <w:uiPriority w:val="10"/>
    <w:rsid w:val="0096798B"/>
    <w:rPr>
      <w:rFonts w:asciiTheme="majorHAnsi" w:eastAsiaTheme="majorEastAsia" w:hAnsiTheme="majorHAnsi" w:cstheme="majorBidi"/>
      <w:color w:val="5B9BD5" w:themeColor="accent1"/>
      <w:kern w:val="28"/>
      <w:sz w:val="96"/>
      <w:szCs w:val="96"/>
      <w:lang w:val="en-US" w:eastAsia="ja-JP"/>
    </w:rPr>
  </w:style>
  <w:style w:type="paragraph" w:styleId="Subtitle">
    <w:name w:val="Subtitle"/>
    <w:basedOn w:val="Normal"/>
    <w:next w:val="Normal"/>
    <w:link w:val="SubtitleChar"/>
    <w:uiPriority w:val="11"/>
    <w:qFormat/>
    <w:rsid w:val="0096798B"/>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96798B"/>
    <w:rPr>
      <w:rFonts w:eastAsiaTheme="minorEastAsia"/>
      <w:color w:val="44546A" w:themeColor="text2"/>
      <w:sz w:val="32"/>
      <w:szCs w:val="32"/>
      <w:lang w:val="en-US" w:eastAsia="ja-JP"/>
    </w:rPr>
  </w:style>
  <w:style w:type="paragraph" w:customStyle="1" w:styleId="TableSpace">
    <w:name w:val="Table Space"/>
    <w:basedOn w:val="NoSpacing"/>
    <w:uiPriority w:val="99"/>
    <w:rsid w:val="0096798B"/>
    <w:pPr>
      <w:spacing w:line="14" w:lineRule="exact"/>
    </w:pPr>
  </w:style>
  <w:style w:type="paragraph" w:styleId="TOC1">
    <w:name w:val="toc 1"/>
    <w:basedOn w:val="Normal"/>
    <w:next w:val="Normal"/>
    <w:autoRedefine/>
    <w:uiPriority w:val="39"/>
    <w:unhideWhenUsed/>
    <w:rsid w:val="00990E0F"/>
    <w:pPr>
      <w:numPr>
        <w:numId w:val="11"/>
      </w:numPr>
      <w:tabs>
        <w:tab w:val="right" w:leader="dot" w:pos="9350"/>
      </w:tabs>
      <w:spacing w:after="140" w:line="240" w:lineRule="auto"/>
      <w:ind w:right="3240"/>
    </w:pPr>
    <w:rPr>
      <w:rFonts w:cstheme="minorHAnsi"/>
      <w:bCs/>
      <w:noProof/>
      <w:color w:val="auto"/>
      <w:sz w:val="22"/>
      <w:szCs w:val="24"/>
      <w:lang w:val="lv-LV"/>
    </w:rPr>
  </w:style>
  <w:style w:type="paragraph" w:styleId="NoSpacing">
    <w:name w:val="No Spacing"/>
    <w:uiPriority w:val="1"/>
    <w:qFormat/>
    <w:rsid w:val="0096798B"/>
    <w:pPr>
      <w:spacing w:after="0" w:line="240" w:lineRule="auto"/>
    </w:pPr>
    <w:rPr>
      <w:rFonts w:eastAsiaTheme="minorEastAsia"/>
      <w:color w:val="44546A" w:themeColor="text2"/>
      <w:sz w:val="20"/>
      <w:szCs w:val="20"/>
      <w:lang w:val="en-US" w:eastAsia="ja-JP"/>
    </w:rPr>
  </w:style>
  <w:style w:type="paragraph" w:styleId="TOC2">
    <w:name w:val="toc 2"/>
    <w:basedOn w:val="Normal"/>
    <w:next w:val="Normal"/>
    <w:autoRedefine/>
    <w:uiPriority w:val="39"/>
    <w:unhideWhenUsed/>
    <w:rsid w:val="00990E0F"/>
    <w:pPr>
      <w:spacing w:after="100"/>
      <w:ind w:left="200"/>
    </w:pPr>
  </w:style>
  <w:style w:type="paragraph" w:styleId="TOCHeading">
    <w:name w:val="TOC Heading"/>
    <w:basedOn w:val="Heading1"/>
    <w:next w:val="Normal"/>
    <w:uiPriority w:val="39"/>
    <w:unhideWhenUsed/>
    <w:qFormat/>
    <w:rsid w:val="00990E0F"/>
    <w:pPr>
      <w:pBdr>
        <w:bottom w:val="none" w:sz="0" w:space="0" w:color="auto"/>
      </w:pBdr>
      <w:spacing w:before="240" w:after="0" w:line="259" w:lineRule="auto"/>
      <w:outlineLvl w:val="9"/>
    </w:pPr>
    <w:rPr>
      <w:color w:val="2E74B5" w:themeColor="accent1" w:themeShade="BF"/>
      <w:sz w:val="32"/>
      <w:szCs w:val="32"/>
      <w:lang w:eastAsia="en-US"/>
    </w:rPr>
  </w:style>
  <w:style w:type="character" w:customStyle="1" w:styleId="FontStyle85">
    <w:name w:val="Font Style85"/>
    <w:uiPriority w:val="99"/>
    <w:rsid w:val="00EC15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10081">
      <w:bodyDiv w:val="1"/>
      <w:marLeft w:val="0"/>
      <w:marRight w:val="0"/>
      <w:marTop w:val="0"/>
      <w:marBottom w:val="0"/>
      <w:divBdr>
        <w:top w:val="none" w:sz="0" w:space="0" w:color="auto"/>
        <w:left w:val="none" w:sz="0" w:space="0" w:color="auto"/>
        <w:bottom w:val="none" w:sz="0" w:space="0" w:color="auto"/>
        <w:right w:val="none" w:sz="0" w:space="0" w:color="auto"/>
      </w:divBdr>
    </w:div>
    <w:div w:id="6429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2.xml"/><Relationship Id="rId26" Type="http://schemas.openxmlformats.org/officeDocument/2006/relationships/chart" Target="charts/chart9.xml"/><Relationship Id="rId39" Type="http://schemas.openxmlformats.org/officeDocument/2006/relationships/hyperlink" Target="http://www.likumi.lv/mknoteikumi.php?mk_numurs=156" TargetMode="External"/><Relationship Id="rId21" Type="http://schemas.openxmlformats.org/officeDocument/2006/relationships/chart" Target="charts/chart5.xml"/><Relationship Id="rId34" Type="http://schemas.openxmlformats.org/officeDocument/2006/relationships/hyperlink" Target="http://www.likumi.lv/doc.php?id=22550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dzti.gov.lv/index.php?id=293&amp;top=266&amp;sa=282" TargetMode="External"/><Relationship Id="rId20" Type="http://schemas.openxmlformats.org/officeDocument/2006/relationships/chart" Target="charts/chart4.xml"/><Relationship Id="rId29" Type="http://schemas.openxmlformats.org/officeDocument/2006/relationships/hyperlink" Target="http://likumi.lv/doc.php?id=269165"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dzti@vdzti.gov.lv" TargetMode="External"/><Relationship Id="rId24" Type="http://schemas.openxmlformats.org/officeDocument/2006/relationships/chart" Target="charts/chart8.xml"/><Relationship Id="rId32" Type="http://schemas.openxmlformats.org/officeDocument/2006/relationships/hyperlink" Target="http://www.vdzti.gov.lv" TargetMode="External"/><Relationship Id="rId37" Type="http://schemas.openxmlformats.org/officeDocument/2006/relationships/chart" Target="charts/chart10.xml"/><Relationship Id="rId40"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hyperlink" Target="http://www.vdzti.gov.lv/index.php?id=282&amp;sa=282" TargetMode="External"/><Relationship Id="rId23" Type="http://schemas.openxmlformats.org/officeDocument/2006/relationships/chart" Target="charts/chart7.xml"/><Relationship Id="rId28" Type="http://schemas.openxmlformats.org/officeDocument/2006/relationships/hyperlink" Target="http://www.likumi.lv/doc.php?id=50059" TargetMode="External"/><Relationship Id="rId36" Type="http://schemas.openxmlformats.org/officeDocument/2006/relationships/hyperlink" Target="http://www.likumi.lv/doc.php?id=219230" TargetMode="External"/><Relationship Id="rId10" Type="http://schemas.openxmlformats.org/officeDocument/2006/relationships/hyperlink" Target="http://www.vdzti.gov.lv" TargetMode="External"/><Relationship Id="rId19" Type="http://schemas.openxmlformats.org/officeDocument/2006/relationships/chart" Target="charts/chart3.xml"/><Relationship Id="rId31" Type="http://schemas.openxmlformats.org/officeDocument/2006/relationships/hyperlink" Target="http://www.likumi.lv/doc.php?id=223860" TargetMode="External"/><Relationship Id="rId4" Type="http://schemas.openxmlformats.org/officeDocument/2006/relationships/settings" Target="settings.xml"/><Relationship Id="rId9" Type="http://schemas.openxmlformats.org/officeDocument/2006/relationships/hyperlink" Target="mailto:vdzti@vdzti.gov.lv" TargetMode="External"/><Relationship Id="rId14" Type="http://schemas.openxmlformats.org/officeDocument/2006/relationships/chart" Target="charts/chart1.xml"/><Relationship Id="rId22" Type="http://schemas.openxmlformats.org/officeDocument/2006/relationships/chart" Target="charts/chart6.xml"/><Relationship Id="rId27" Type="http://schemas.openxmlformats.org/officeDocument/2006/relationships/hyperlink" Target="http://www.vdzti.gov.lv" TargetMode="External"/><Relationship Id="rId30" Type="http://schemas.openxmlformats.org/officeDocument/2006/relationships/hyperlink" Target="http://www.vdzti.gov.lv" TargetMode="External"/><Relationship Id="rId35" Type="http://schemas.openxmlformats.org/officeDocument/2006/relationships/hyperlink" Target="http://www.likumi.lv/doc.php?id=132340"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vdzti.gov.lv" TargetMode="External"/><Relationship Id="rId17" Type="http://schemas.openxmlformats.org/officeDocument/2006/relationships/hyperlink" Target="http://www.vdzti.gov.lv/index.php?id=307&amp;sa=458,440,307" TargetMode="External"/><Relationship Id="rId25" Type="http://schemas.openxmlformats.org/officeDocument/2006/relationships/hyperlink" Target="https://likumi.lv/ta/id/312815-grozijumi-dzelzcela-likuma" TargetMode="External"/><Relationship Id="rId33" Type="http://schemas.openxmlformats.org/officeDocument/2006/relationships/hyperlink" Target="http://www.likumi.lv/doc.php?id=172807" TargetMode="External"/><Relationship Id="rId38" Type="http://schemas.openxmlformats.org/officeDocument/2006/relationships/chart" Target="charts/chart11.xml"/></Relationships>
</file>

<file path=word/_rels/footnotes.xml.rels><?xml version="1.0" encoding="UTF-8" standalone="yes"?>
<Relationships xmlns="http://schemas.openxmlformats.org/package/2006/relationships"><Relationship Id="rId1" Type="http://schemas.openxmlformats.org/officeDocument/2006/relationships/hyperlink" Target="http://www.railbaltica.org/l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ndas%20komandejuma\Dropbox\VDzTI\Publ_parskats\Dati_negadijumi_analize_20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TITAN\Statistika\Analize\Dati_negadijumi_analize_2019.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TITAN\Statistika\Analize\Dati_negadijumi_analize_2019.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TITAN\Statistika\Analize\Dati_negadijumi_analize_2019.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l.gailite\Documents\No%20Data%20diska\Dokumenti\Statistika\Darbs.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172.16.30.102\Statistika\Analize\Dati_negadijumi_analize_2019.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lv-LV" sz="1000" b="1">
                <a:solidFill>
                  <a:sysClr val="windowText" lastClr="000000"/>
                </a:solidFill>
              </a:rPr>
              <a:t>1.attēls. Relatīvais</a:t>
            </a:r>
            <a:r>
              <a:rPr lang="lv-LV" sz="1000" b="1" baseline="0">
                <a:solidFill>
                  <a:sysClr val="windowText" lastClr="000000"/>
                </a:solidFill>
              </a:rPr>
              <a:t> negadījumu skaits uz milj.vkm.</a:t>
            </a:r>
            <a:endParaRPr lang="en-US" sz="1000" b="1">
              <a:solidFill>
                <a:sysClr val="windowText" lastClr="000000"/>
              </a:solidFill>
            </a:endParaRPr>
          </a:p>
        </c:rich>
      </c:tx>
      <c:layout>
        <c:manualLayout>
          <c:xMode val="edge"/>
          <c:yMode val="edge"/>
          <c:x val="0.77904636194334631"/>
          <c:y val="0.91134779171641878"/>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5022148222341689E-2"/>
          <c:y val="3.4541891746521239E-2"/>
          <c:w val="0.91958037912350066"/>
          <c:h val="0.76500465777264337"/>
        </c:manualLayout>
      </c:layout>
      <c:lineChart>
        <c:grouping val="standard"/>
        <c:varyColors val="0"/>
        <c:ser>
          <c:idx val="0"/>
          <c:order val="0"/>
          <c:tx>
            <c:strRef>
              <c:f>Sheet1!$B$44</c:f>
              <c:strCache>
                <c:ptCount val="1"/>
                <c:pt idx="0">
                  <c:v>Negadījumi</c:v>
                </c:pt>
              </c:strCache>
            </c:strRef>
          </c:tx>
          <c:spPr>
            <a:ln w="28575" cap="rnd">
              <a:solidFill>
                <a:srgbClr val="C00000"/>
              </a:solidFill>
              <a:round/>
            </a:ln>
            <a:effectLst/>
          </c:spPr>
          <c:marker>
            <c:symbol val="none"/>
          </c:marker>
          <c:trendline>
            <c:spPr>
              <a:ln w="19050" cap="rnd">
                <a:solidFill>
                  <a:srgbClr val="C00000"/>
                </a:solidFill>
                <a:prstDash val="sysDot"/>
              </a:ln>
              <a:effectLst/>
            </c:spPr>
            <c:trendlineType val="log"/>
            <c:dispRSqr val="0"/>
            <c:dispEq val="0"/>
          </c:trendline>
          <c:cat>
            <c:numRef>
              <c:f>Sheet1!$D$43:$S$43</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Sheet1!$D$44:$S$44</c:f>
              <c:numCache>
                <c:formatCode>0.000</c:formatCode>
                <c:ptCount val="16"/>
                <c:pt idx="0">
                  <c:v>3.808901947981282</c:v>
                </c:pt>
                <c:pt idx="1">
                  <c:v>3.1015344433561869</c:v>
                </c:pt>
                <c:pt idx="2">
                  <c:v>3.4280117531831538</c:v>
                </c:pt>
                <c:pt idx="3">
                  <c:v>2.7750571335292196</c:v>
                </c:pt>
                <c:pt idx="4">
                  <c:v>3.3191859832408315</c:v>
                </c:pt>
                <c:pt idx="5">
                  <c:v>1.6867994341059962</c:v>
                </c:pt>
                <c:pt idx="6">
                  <c:v>2.2309282838176081</c:v>
                </c:pt>
                <c:pt idx="7">
                  <c:v>1.904450973990641</c:v>
                </c:pt>
                <c:pt idx="8">
                  <c:v>1.3603221242790293</c:v>
                </c:pt>
                <c:pt idx="9">
                  <c:v>1.4147350092501905</c:v>
                </c:pt>
                <c:pt idx="10">
                  <c:v>1.1970834693655457</c:v>
                </c:pt>
                <c:pt idx="11">
                  <c:v>1.3603221242790293</c:v>
                </c:pt>
                <c:pt idx="12">
                  <c:v>0.97943192948090108</c:v>
                </c:pt>
                <c:pt idx="13">
                  <c:v>1.3059092393078682</c:v>
                </c:pt>
                <c:pt idx="14">
                  <c:v>1.0882576994232234</c:v>
                </c:pt>
                <c:pt idx="15">
                  <c:v>1.0338448144520622</c:v>
                </c:pt>
              </c:numCache>
            </c:numRef>
          </c:val>
          <c:smooth val="1"/>
          <c:extLst xmlns:c16r2="http://schemas.microsoft.com/office/drawing/2015/06/chart">
            <c:ext xmlns:c16="http://schemas.microsoft.com/office/drawing/2014/chart" uri="{C3380CC4-5D6E-409C-BE32-E72D297353CC}">
              <c16:uniqueId val="{00000001-C254-4D73-99FA-10DA867DD7D2}"/>
            </c:ext>
          </c:extLst>
        </c:ser>
        <c:dLbls>
          <c:showLegendKey val="0"/>
          <c:showVal val="0"/>
          <c:showCatName val="0"/>
          <c:showSerName val="0"/>
          <c:showPercent val="0"/>
          <c:showBubbleSize val="0"/>
        </c:dLbls>
        <c:smooth val="0"/>
        <c:axId val="1400346688"/>
        <c:axId val="1400344512"/>
      </c:lineChart>
      <c:catAx>
        <c:axId val="140034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4512"/>
        <c:crosses val="autoZero"/>
        <c:auto val="1"/>
        <c:lblAlgn val="ctr"/>
        <c:lblOffset val="100"/>
        <c:noMultiLvlLbl val="0"/>
      </c:catAx>
      <c:valAx>
        <c:axId val="1400344512"/>
        <c:scaling>
          <c:orientation val="minMax"/>
          <c:max val="5.5"/>
          <c:min val="0"/>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6688"/>
        <c:crosses val="autoZero"/>
        <c:crossBetween val="between"/>
      </c:valAx>
      <c:spPr>
        <a:noFill/>
        <a:ln>
          <a:noFill/>
        </a:ln>
        <a:effectLst/>
      </c:spPr>
    </c:plotArea>
    <c:legend>
      <c:legendPos val="t"/>
      <c:layout>
        <c:manualLayout>
          <c:xMode val="edge"/>
          <c:yMode val="edge"/>
          <c:x val="5.9116541967523778E-2"/>
          <c:y val="0.91736460153522614"/>
          <c:w val="0.43344455101443918"/>
          <c:h val="7.23090102342787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10.attēls. Piešķirto sertifikātu skaits pa kategorijām (2004-2019)</a:t>
            </a:r>
          </a:p>
        </c:rich>
      </c:tx>
      <c:layout>
        <c:manualLayout>
          <c:xMode val="edge"/>
          <c:yMode val="edge"/>
          <c:x val="0.75393744531933504"/>
          <c:y val="0.90277777777777779"/>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1325949256342957"/>
          <c:y val="3.2824074074074089E-2"/>
          <c:w val="0.84240507436570433"/>
          <c:h val="0.70294728783902016"/>
        </c:manualLayout>
      </c:layout>
      <c:barChart>
        <c:barDir val="col"/>
        <c:grouping val="stacked"/>
        <c:varyColors val="0"/>
        <c:ser>
          <c:idx val="1"/>
          <c:order val="1"/>
          <c:tx>
            <c:strRef>
              <c:f>VDzTI!$A$52</c:f>
              <c:strCache>
                <c:ptCount val="1"/>
                <c:pt idx="0">
                  <c:v>vadītājs (mašīnists) instruktors</c:v>
                </c:pt>
              </c:strCache>
            </c:strRef>
          </c:tx>
          <c:spPr>
            <a:solidFill>
              <a:srgbClr val="C00000"/>
            </a:solidFill>
            <a:ln>
              <a:solidFill>
                <a:srgbClr val="C00000"/>
              </a:solid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VDzTI!$C$52:$Q$52</c:f>
              <c:numCache>
                <c:formatCode>General</c:formatCode>
                <c:ptCount val="15"/>
                <c:pt idx="0">
                  <c:v>30</c:v>
                </c:pt>
                <c:pt idx="1">
                  <c:v>7</c:v>
                </c:pt>
                <c:pt idx="2">
                  <c:v>17</c:v>
                </c:pt>
                <c:pt idx="3">
                  <c:v>12</c:v>
                </c:pt>
                <c:pt idx="4">
                  <c:v>9</c:v>
                </c:pt>
                <c:pt idx="5">
                  <c:v>20</c:v>
                </c:pt>
                <c:pt idx="6">
                  <c:v>36</c:v>
                </c:pt>
                <c:pt idx="7">
                  <c:v>16</c:v>
                </c:pt>
                <c:pt idx="8">
                  <c:v>12</c:v>
                </c:pt>
                <c:pt idx="9">
                  <c:v>11</c:v>
                </c:pt>
                <c:pt idx="10">
                  <c:v>15</c:v>
                </c:pt>
                <c:pt idx="11">
                  <c:v>28</c:v>
                </c:pt>
                <c:pt idx="12">
                  <c:v>23</c:v>
                </c:pt>
                <c:pt idx="13">
                  <c:v>16</c:v>
                </c:pt>
                <c:pt idx="14">
                  <c:v>14</c:v>
                </c:pt>
              </c:numCache>
            </c:numRef>
          </c:val>
          <c:extLst xmlns:c16r2="http://schemas.microsoft.com/office/drawing/2015/06/chart">
            <c:ext xmlns:c16="http://schemas.microsoft.com/office/drawing/2014/chart" uri="{C3380CC4-5D6E-409C-BE32-E72D297353CC}">
              <c16:uniqueId val="{00000001-6ED5-45E8-9266-808C39F1B9D7}"/>
            </c:ext>
          </c:extLst>
        </c:ser>
        <c:ser>
          <c:idx val="2"/>
          <c:order val="2"/>
          <c:tx>
            <c:strRef>
              <c:f>VDzTI!$A$53</c:f>
              <c:strCache>
                <c:ptCount val="1"/>
                <c:pt idx="0">
                  <c:v>vadītāja (mašīnista) palīgs</c:v>
                </c:pt>
              </c:strCache>
            </c:strRef>
          </c:tx>
          <c:spPr>
            <a:solidFill>
              <a:schemeClr val="bg1">
                <a:lumMod val="50000"/>
              </a:schemeClr>
            </a:solidFill>
            <a:ln>
              <a:no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VDzTI!$C$53:$Q$53</c:f>
              <c:numCache>
                <c:formatCode>General</c:formatCode>
                <c:ptCount val="15"/>
                <c:pt idx="0">
                  <c:v>88</c:v>
                </c:pt>
                <c:pt idx="1">
                  <c:v>62</c:v>
                </c:pt>
                <c:pt idx="2">
                  <c:v>71</c:v>
                </c:pt>
                <c:pt idx="3">
                  <c:v>190</c:v>
                </c:pt>
                <c:pt idx="4">
                  <c:v>161</c:v>
                </c:pt>
                <c:pt idx="5">
                  <c:v>114</c:v>
                </c:pt>
                <c:pt idx="6">
                  <c:v>89</c:v>
                </c:pt>
                <c:pt idx="7">
                  <c:v>144</c:v>
                </c:pt>
                <c:pt idx="8">
                  <c:v>149</c:v>
                </c:pt>
                <c:pt idx="9">
                  <c:v>191</c:v>
                </c:pt>
                <c:pt idx="10">
                  <c:v>203</c:v>
                </c:pt>
                <c:pt idx="11">
                  <c:v>107</c:v>
                </c:pt>
                <c:pt idx="12">
                  <c:v>81</c:v>
                </c:pt>
                <c:pt idx="13">
                  <c:v>98</c:v>
                </c:pt>
                <c:pt idx="14">
                  <c:v>81</c:v>
                </c:pt>
              </c:numCache>
            </c:numRef>
          </c:val>
          <c:extLst xmlns:c16r2="http://schemas.microsoft.com/office/drawing/2015/06/chart">
            <c:ext xmlns:c16="http://schemas.microsoft.com/office/drawing/2014/chart" uri="{C3380CC4-5D6E-409C-BE32-E72D297353CC}">
              <c16:uniqueId val="{00000002-6ED5-45E8-9266-808C39F1B9D7}"/>
            </c:ext>
          </c:extLst>
        </c:ser>
        <c:ser>
          <c:idx val="3"/>
          <c:order val="3"/>
          <c:tx>
            <c:strRef>
              <c:f>VDzTI!$A$54</c:f>
              <c:strCache>
                <c:ptCount val="1"/>
                <c:pt idx="0">
                  <c:v>vadītājs (mašīnists)</c:v>
                </c:pt>
              </c:strCache>
            </c:strRef>
          </c:tx>
          <c:spPr>
            <a:solidFill>
              <a:schemeClr val="bg1">
                <a:lumMod val="75000"/>
              </a:schemeClr>
            </a:solidFill>
            <a:ln>
              <a:no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VDzTI!$C$54:$Q$54</c:f>
              <c:numCache>
                <c:formatCode>General</c:formatCode>
                <c:ptCount val="15"/>
                <c:pt idx="0">
                  <c:v>106</c:v>
                </c:pt>
                <c:pt idx="1">
                  <c:v>101</c:v>
                </c:pt>
                <c:pt idx="2">
                  <c:v>117</c:v>
                </c:pt>
                <c:pt idx="3">
                  <c:v>346</c:v>
                </c:pt>
                <c:pt idx="4">
                  <c:v>335</c:v>
                </c:pt>
                <c:pt idx="5">
                  <c:v>346</c:v>
                </c:pt>
                <c:pt idx="6">
                  <c:v>179</c:v>
                </c:pt>
                <c:pt idx="7">
                  <c:v>149</c:v>
                </c:pt>
                <c:pt idx="8">
                  <c:v>125</c:v>
                </c:pt>
                <c:pt idx="9">
                  <c:v>303</c:v>
                </c:pt>
                <c:pt idx="10">
                  <c:v>298</c:v>
                </c:pt>
                <c:pt idx="11">
                  <c:v>210</c:v>
                </c:pt>
                <c:pt idx="12">
                  <c:v>137</c:v>
                </c:pt>
                <c:pt idx="13">
                  <c:v>53</c:v>
                </c:pt>
                <c:pt idx="14">
                  <c:v>49</c:v>
                </c:pt>
              </c:numCache>
            </c:numRef>
          </c:val>
        </c:ser>
        <c:dLbls>
          <c:showLegendKey val="0"/>
          <c:showVal val="0"/>
          <c:showCatName val="0"/>
          <c:showSerName val="0"/>
          <c:showPercent val="0"/>
          <c:showBubbleSize val="0"/>
        </c:dLbls>
        <c:gapWidth val="16"/>
        <c:overlap val="100"/>
        <c:axId val="1400350496"/>
        <c:axId val="1400336352"/>
      </c:barChart>
      <c:lineChart>
        <c:grouping val="standard"/>
        <c:varyColors val="0"/>
        <c:ser>
          <c:idx val="0"/>
          <c:order val="0"/>
          <c:tx>
            <c:strRef>
              <c:f>VDzTI!$A$51</c:f>
              <c:strCache>
                <c:ptCount val="1"/>
                <c:pt idx="0">
                  <c:v>Piešķirti sertifikāti</c:v>
                </c:pt>
              </c:strCache>
            </c:strRef>
          </c:tx>
          <c:spPr>
            <a:ln w="28575" cap="rnd">
              <a:solidFill>
                <a:schemeClr val="tx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VDzTI!$C$51:$Q$51</c:f>
              <c:numCache>
                <c:formatCode>General</c:formatCode>
                <c:ptCount val="15"/>
                <c:pt idx="0">
                  <c:v>224</c:v>
                </c:pt>
                <c:pt idx="1">
                  <c:v>170</c:v>
                </c:pt>
                <c:pt idx="2">
                  <c:v>205</c:v>
                </c:pt>
                <c:pt idx="3">
                  <c:v>548</c:v>
                </c:pt>
                <c:pt idx="4">
                  <c:v>505</c:v>
                </c:pt>
                <c:pt idx="5">
                  <c:v>480</c:v>
                </c:pt>
                <c:pt idx="6">
                  <c:v>304</c:v>
                </c:pt>
                <c:pt idx="7">
                  <c:v>309</c:v>
                </c:pt>
                <c:pt idx="8">
                  <c:v>286</c:v>
                </c:pt>
                <c:pt idx="9">
                  <c:v>505</c:v>
                </c:pt>
                <c:pt idx="10">
                  <c:v>516</c:v>
                </c:pt>
                <c:pt idx="11">
                  <c:v>345</c:v>
                </c:pt>
                <c:pt idx="12">
                  <c:v>241</c:v>
                </c:pt>
                <c:pt idx="13">
                  <c:v>167</c:v>
                </c:pt>
                <c:pt idx="14">
                  <c:v>144</c:v>
                </c:pt>
              </c:numCache>
            </c:numRef>
          </c:val>
          <c:smooth val="1"/>
          <c:extLst xmlns:c16r2="http://schemas.microsoft.com/office/drawing/2015/06/chart">
            <c:ext xmlns:c16="http://schemas.microsoft.com/office/drawing/2014/chart" uri="{C3380CC4-5D6E-409C-BE32-E72D297353CC}">
              <c16:uniqueId val="{00000000-6ED5-45E8-9266-808C39F1B9D7}"/>
            </c:ext>
          </c:extLst>
        </c:ser>
        <c:dLbls>
          <c:showLegendKey val="0"/>
          <c:showVal val="0"/>
          <c:showCatName val="0"/>
          <c:showSerName val="0"/>
          <c:showPercent val="0"/>
          <c:showBubbleSize val="0"/>
        </c:dLbls>
        <c:marker val="1"/>
        <c:smooth val="0"/>
        <c:axId val="1400350496"/>
        <c:axId val="1400336352"/>
      </c:lineChart>
      <c:catAx>
        <c:axId val="140035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36352"/>
        <c:crosses val="autoZero"/>
        <c:auto val="1"/>
        <c:lblAlgn val="ctr"/>
        <c:lblOffset val="100"/>
        <c:noMultiLvlLbl val="0"/>
      </c:catAx>
      <c:valAx>
        <c:axId val="1400336352"/>
        <c:scaling>
          <c:orientation val="minMax"/>
          <c:max val="6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Piešķirto sertifikātu skaits</a:t>
                </a:r>
              </a:p>
            </c:rich>
          </c:tx>
          <c:layout>
            <c:manualLayout>
              <c:xMode val="edge"/>
              <c:yMode val="edge"/>
              <c:x val="1.3888888888888888E-2"/>
              <c:y val="0.187735126859142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50496"/>
        <c:crosses val="autoZero"/>
        <c:crossBetween val="between"/>
      </c:valAx>
      <c:spPr>
        <a:noFill/>
        <a:ln>
          <a:noFill/>
        </a:ln>
        <a:effectLst/>
      </c:spPr>
    </c:plotArea>
    <c:legend>
      <c:legendPos val="b"/>
      <c:layout>
        <c:manualLayout>
          <c:xMode val="edge"/>
          <c:yMode val="edge"/>
          <c:x val="5.5555555555555558E-3"/>
          <c:y val="0.79817474757733509"/>
          <c:w val="0.97691951006124234"/>
          <c:h val="0.121641608416530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11.attēls. Organizēto eksāmenu un piešķirto tiesību attiecība (2004-2019)</a:t>
            </a:r>
          </a:p>
        </c:rich>
      </c:tx>
      <c:layout>
        <c:manualLayout>
          <c:xMode val="edge"/>
          <c:yMode val="edge"/>
          <c:x val="0.67615966754155732"/>
          <c:y val="0.90277777777777779"/>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9.8692038495188095E-2"/>
          <c:y val="6.3148148148148148E-2"/>
          <c:w val="0.85375240594925639"/>
          <c:h val="0.64947506561679791"/>
        </c:manualLayout>
      </c:layout>
      <c:scatterChart>
        <c:scatterStyle val="lineMarker"/>
        <c:varyColors val="0"/>
        <c:ser>
          <c:idx val="0"/>
          <c:order val="0"/>
          <c:tx>
            <c:strRef>
              <c:f>VDzTI!$A$95</c:f>
              <c:strCache>
                <c:ptCount val="1"/>
                <c:pt idx="0">
                  <c:v>Noorganizēti eksāmeni</c:v>
                </c:pt>
              </c:strCache>
            </c:strRef>
          </c:tx>
          <c:spPr>
            <a:ln w="19050" cap="rnd">
              <a:solidFill>
                <a:schemeClr val="tx1">
                  <a:lumMod val="85000"/>
                  <a:lumOff val="15000"/>
                </a:schemeClr>
              </a:solidFill>
              <a:round/>
            </a:ln>
            <a:effectLst/>
          </c:spPr>
          <c:marker>
            <c:symbol val="circle"/>
            <c:size val="5"/>
            <c:spPr>
              <a:solidFill>
                <a:schemeClr val="tx1">
                  <a:lumMod val="75000"/>
                  <a:lumOff val="25000"/>
                </a:schemeClr>
              </a:solidFill>
              <a:ln w="9525">
                <a:solidFill>
                  <a:schemeClr val="tx1">
                    <a:lumMod val="75000"/>
                    <a:lumOff val="25000"/>
                  </a:schemeClr>
                </a:solidFill>
              </a:ln>
              <a:effectLst/>
            </c:spPr>
          </c:marker>
          <c:xVal>
            <c:numRef>
              <c:f>VDzTI!$B$94:$Q$94</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xVal>
          <c:yVal>
            <c:numRef>
              <c:f>VDzTI!$B$95:$Q$95</c:f>
              <c:numCache>
                <c:formatCode>General</c:formatCode>
                <c:ptCount val="16"/>
                <c:pt idx="0">
                  <c:v>90</c:v>
                </c:pt>
                <c:pt idx="1">
                  <c:v>31</c:v>
                </c:pt>
                <c:pt idx="2">
                  <c:v>34</c:v>
                </c:pt>
                <c:pt idx="3">
                  <c:v>130</c:v>
                </c:pt>
                <c:pt idx="4">
                  <c:v>138</c:v>
                </c:pt>
                <c:pt idx="5">
                  <c:v>167</c:v>
                </c:pt>
                <c:pt idx="6">
                  <c:v>243</c:v>
                </c:pt>
                <c:pt idx="7">
                  <c:v>175</c:v>
                </c:pt>
                <c:pt idx="8">
                  <c:v>230</c:v>
                </c:pt>
                <c:pt idx="9">
                  <c:v>639</c:v>
                </c:pt>
                <c:pt idx="10">
                  <c:v>513</c:v>
                </c:pt>
                <c:pt idx="11">
                  <c:v>551</c:v>
                </c:pt>
                <c:pt idx="12">
                  <c:v>443</c:v>
                </c:pt>
                <c:pt idx="13">
                  <c:v>488</c:v>
                </c:pt>
                <c:pt idx="14">
                  <c:v>384</c:v>
                </c:pt>
                <c:pt idx="15">
                  <c:v>419</c:v>
                </c:pt>
              </c:numCache>
            </c:numRef>
          </c:yVal>
          <c:smooth val="1"/>
          <c:extLst xmlns:c16r2="http://schemas.microsoft.com/office/drawing/2015/06/chart">
            <c:ext xmlns:c16="http://schemas.microsoft.com/office/drawing/2014/chart" uri="{C3380CC4-5D6E-409C-BE32-E72D297353CC}">
              <c16:uniqueId val="{00000000-29D3-4A67-B8AA-A1E8AE5753A4}"/>
            </c:ext>
          </c:extLst>
        </c:ser>
        <c:ser>
          <c:idx val="1"/>
          <c:order val="1"/>
          <c:tx>
            <c:strRef>
              <c:f>VDzTI!$A$96</c:f>
              <c:strCache>
                <c:ptCount val="1"/>
                <c:pt idx="0">
                  <c:v>Pieķirtas tiesības</c:v>
                </c:pt>
              </c:strCache>
            </c:strRef>
          </c:tx>
          <c:spPr>
            <a:ln w="19050" cap="rnd">
              <a:solidFill>
                <a:srgbClr val="C00000"/>
              </a:solidFill>
              <a:round/>
            </a:ln>
            <a:effectLst/>
          </c:spPr>
          <c:marker>
            <c:symbol val="circle"/>
            <c:size val="5"/>
            <c:spPr>
              <a:solidFill>
                <a:srgbClr val="C00000"/>
              </a:solidFill>
              <a:ln w="9525">
                <a:solidFill>
                  <a:srgbClr val="C00000"/>
                </a:solidFill>
              </a:ln>
              <a:effectLst/>
            </c:spPr>
          </c:marker>
          <c:xVal>
            <c:numRef>
              <c:f>VDzTI!$B$94:$Q$94</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xVal>
          <c:yVal>
            <c:numRef>
              <c:f>VDzTI!$B$96:$Q$96</c:f>
              <c:numCache>
                <c:formatCode>General</c:formatCode>
                <c:ptCount val="16"/>
                <c:pt idx="0">
                  <c:v>94</c:v>
                </c:pt>
                <c:pt idx="1">
                  <c:v>34</c:v>
                </c:pt>
                <c:pt idx="2">
                  <c:v>38</c:v>
                </c:pt>
                <c:pt idx="3">
                  <c:v>116</c:v>
                </c:pt>
                <c:pt idx="4">
                  <c:v>126</c:v>
                </c:pt>
                <c:pt idx="5">
                  <c:v>128</c:v>
                </c:pt>
                <c:pt idx="6">
                  <c:v>221</c:v>
                </c:pt>
                <c:pt idx="7">
                  <c:v>168</c:v>
                </c:pt>
                <c:pt idx="8">
                  <c:v>145</c:v>
                </c:pt>
                <c:pt idx="9">
                  <c:v>211</c:v>
                </c:pt>
                <c:pt idx="10">
                  <c:v>150</c:v>
                </c:pt>
                <c:pt idx="11">
                  <c:v>151</c:v>
                </c:pt>
                <c:pt idx="12">
                  <c:v>200</c:v>
                </c:pt>
                <c:pt idx="13">
                  <c:v>171</c:v>
                </c:pt>
                <c:pt idx="14">
                  <c:v>129</c:v>
                </c:pt>
                <c:pt idx="15">
                  <c:v>164</c:v>
                </c:pt>
              </c:numCache>
            </c:numRef>
          </c:yVal>
          <c:smooth val="1"/>
          <c:extLst xmlns:c16r2="http://schemas.microsoft.com/office/drawing/2015/06/chart">
            <c:ext xmlns:c16="http://schemas.microsoft.com/office/drawing/2014/chart" uri="{C3380CC4-5D6E-409C-BE32-E72D297353CC}">
              <c16:uniqueId val="{00000002-29D3-4A67-B8AA-A1E8AE5753A4}"/>
            </c:ext>
          </c:extLst>
        </c:ser>
        <c:dLbls>
          <c:showLegendKey val="0"/>
          <c:showVal val="0"/>
          <c:showCatName val="0"/>
          <c:showSerName val="0"/>
          <c:showPercent val="0"/>
          <c:showBubbleSize val="0"/>
        </c:dLbls>
        <c:axId val="1400336896"/>
        <c:axId val="1400339072"/>
      </c:scatterChart>
      <c:valAx>
        <c:axId val="1400336896"/>
        <c:scaling>
          <c:orientation val="minMax"/>
          <c:max val="2019"/>
          <c:min val="2004"/>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39072"/>
        <c:crosses val="autoZero"/>
        <c:crossBetween val="midCat"/>
      </c:valAx>
      <c:valAx>
        <c:axId val="1400339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Skaits</a:t>
                </a:r>
              </a:p>
            </c:rich>
          </c:tx>
          <c:layout>
            <c:manualLayout>
              <c:xMode val="edge"/>
              <c:yMode val="edge"/>
              <c:x val="4.109711286089239E-2"/>
              <c:y val="0.773336978710994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36896"/>
        <c:crosses val="autoZero"/>
        <c:crossBetween val="midCat"/>
      </c:valAx>
      <c:spPr>
        <a:noFill/>
        <a:ln>
          <a:noFill/>
        </a:ln>
        <a:effectLst/>
      </c:spPr>
    </c:plotArea>
    <c:legend>
      <c:legendPos val="b"/>
      <c:layout>
        <c:manualLayout>
          <c:xMode val="edge"/>
          <c:yMode val="edge"/>
          <c:x val="9.2260498687664047E-2"/>
          <c:y val="0.78298556430446198"/>
          <c:w val="0.8904790026246720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12.attēls. Organizēto eksāmenu un piešķirto sertifikātu attiecības (2011-2019)</a:t>
            </a:r>
          </a:p>
        </c:rich>
      </c:tx>
      <c:layout>
        <c:manualLayout>
          <c:xMode val="edge"/>
          <c:yMode val="edge"/>
          <c:x val="0.27971839200851062"/>
          <c:y val="0.85815190626944826"/>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6580927384076991E-2"/>
          <c:y val="5.5972222222222236E-2"/>
          <c:w val="0.87753018372703417"/>
          <c:h val="0.55364063867016622"/>
        </c:manualLayout>
      </c:layout>
      <c:scatterChart>
        <c:scatterStyle val="lineMarker"/>
        <c:varyColors val="0"/>
        <c:ser>
          <c:idx val="0"/>
          <c:order val="0"/>
          <c:tx>
            <c:strRef>
              <c:f>VDzTI!$A$117</c:f>
              <c:strCache>
                <c:ptCount val="1"/>
                <c:pt idx="0">
                  <c:v>Eksaminācijas</c:v>
                </c:pt>
              </c:strCache>
            </c:strRef>
          </c:tx>
          <c:spPr>
            <a:ln w="19050" cap="rnd">
              <a:solidFill>
                <a:schemeClr val="tx1">
                  <a:lumMod val="75000"/>
                  <a:lumOff val="25000"/>
                </a:schemeClr>
              </a:solidFill>
              <a:round/>
            </a:ln>
            <a:effectLst/>
          </c:spPr>
          <c:marker>
            <c:symbol val="circle"/>
            <c:size val="5"/>
            <c:spPr>
              <a:solidFill>
                <a:schemeClr val="tx1">
                  <a:lumMod val="65000"/>
                  <a:lumOff val="35000"/>
                </a:schemeClr>
              </a:solidFill>
              <a:ln w="9525">
                <a:solidFill>
                  <a:schemeClr val="tx1">
                    <a:lumMod val="65000"/>
                    <a:lumOff val="35000"/>
                  </a:schemeClr>
                </a:solidFill>
              </a:ln>
              <a:effectLst/>
            </c:spPr>
          </c:marker>
          <c:xVal>
            <c:numRef>
              <c:f>VDzTI!$B$116:$J$116</c:f>
              <c:numCache>
                <c:formatCode>General</c:formatCode>
                <c:ptCount val="9"/>
                <c:pt idx="0">
                  <c:v>2011</c:v>
                </c:pt>
                <c:pt idx="1">
                  <c:v>2012</c:v>
                </c:pt>
                <c:pt idx="2">
                  <c:v>2013</c:v>
                </c:pt>
                <c:pt idx="3">
                  <c:v>2014</c:v>
                </c:pt>
                <c:pt idx="4">
                  <c:v>2015</c:v>
                </c:pt>
                <c:pt idx="5">
                  <c:v>2016</c:v>
                </c:pt>
                <c:pt idx="6">
                  <c:v>2017</c:v>
                </c:pt>
                <c:pt idx="7">
                  <c:v>2018</c:v>
                </c:pt>
                <c:pt idx="8">
                  <c:v>2019</c:v>
                </c:pt>
              </c:numCache>
            </c:numRef>
          </c:xVal>
          <c:yVal>
            <c:numRef>
              <c:f>VDzTI!$B$117:$J$117</c:f>
              <c:numCache>
                <c:formatCode>General</c:formatCode>
                <c:ptCount val="9"/>
                <c:pt idx="0">
                  <c:v>24</c:v>
                </c:pt>
                <c:pt idx="1">
                  <c:v>33</c:v>
                </c:pt>
                <c:pt idx="2">
                  <c:v>41</c:v>
                </c:pt>
                <c:pt idx="3">
                  <c:v>47</c:v>
                </c:pt>
                <c:pt idx="4">
                  <c:v>32</c:v>
                </c:pt>
                <c:pt idx="5">
                  <c:v>36</c:v>
                </c:pt>
                <c:pt idx="6">
                  <c:v>31</c:v>
                </c:pt>
                <c:pt idx="7">
                  <c:v>36</c:v>
                </c:pt>
                <c:pt idx="8">
                  <c:v>34</c:v>
                </c:pt>
              </c:numCache>
            </c:numRef>
          </c:yVal>
          <c:smooth val="1"/>
          <c:extLst xmlns:c16r2="http://schemas.microsoft.com/office/drawing/2015/06/chart">
            <c:ext xmlns:c16="http://schemas.microsoft.com/office/drawing/2014/chart" uri="{C3380CC4-5D6E-409C-BE32-E72D297353CC}">
              <c16:uniqueId val="{00000000-F588-4060-8A1D-5DD097533912}"/>
            </c:ext>
          </c:extLst>
        </c:ser>
        <c:ser>
          <c:idx val="1"/>
          <c:order val="1"/>
          <c:tx>
            <c:strRef>
              <c:f>VDzTI!$A$118</c:f>
              <c:strCache>
                <c:ptCount val="1"/>
                <c:pt idx="0">
                  <c:v>Piešķirti bīstamo kravu konsultantu sertifikāti</c:v>
                </c:pt>
              </c:strCache>
            </c:strRef>
          </c:tx>
          <c:spPr>
            <a:ln w="19050" cap="rnd">
              <a:solidFill>
                <a:srgbClr val="C00000"/>
              </a:solidFill>
              <a:round/>
            </a:ln>
            <a:effectLst/>
          </c:spPr>
          <c:marker>
            <c:symbol val="circle"/>
            <c:size val="5"/>
            <c:spPr>
              <a:solidFill>
                <a:srgbClr val="C00000"/>
              </a:solidFill>
              <a:ln w="9525">
                <a:solidFill>
                  <a:srgbClr val="C00000"/>
                </a:solidFill>
              </a:ln>
              <a:effectLst/>
            </c:spPr>
          </c:marker>
          <c:xVal>
            <c:numRef>
              <c:f>VDzTI!$B$116:$J$116</c:f>
              <c:numCache>
                <c:formatCode>General</c:formatCode>
                <c:ptCount val="9"/>
                <c:pt idx="0">
                  <c:v>2011</c:v>
                </c:pt>
                <c:pt idx="1">
                  <c:v>2012</c:v>
                </c:pt>
                <c:pt idx="2">
                  <c:v>2013</c:v>
                </c:pt>
                <c:pt idx="3">
                  <c:v>2014</c:v>
                </c:pt>
                <c:pt idx="4">
                  <c:v>2015</c:v>
                </c:pt>
                <c:pt idx="5">
                  <c:v>2016</c:v>
                </c:pt>
                <c:pt idx="6">
                  <c:v>2017</c:v>
                </c:pt>
                <c:pt idx="7">
                  <c:v>2018</c:v>
                </c:pt>
                <c:pt idx="8">
                  <c:v>2019</c:v>
                </c:pt>
              </c:numCache>
            </c:numRef>
          </c:xVal>
          <c:yVal>
            <c:numRef>
              <c:f>VDzTI!$B$118:$J$118</c:f>
              <c:numCache>
                <c:formatCode>General</c:formatCode>
                <c:ptCount val="9"/>
                <c:pt idx="0">
                  <c:v>22</c:v>
                </c:pt>
                <c:pt idx="1">
                  <c:v>26</c:v>
                </c:pt>
                <c:pt idx="2">
                  <c:v>38</c:v>
                </c:pt>
                <c:pt idx="3">
                  <c:v>40</c:v>
                </c:pt>
                <c:pt idx="4">
                  <c:v>25</c:v>
                </c:pt>
                <c:pt idx="5">
                  <c:v>35</c:v>
                </c:pt>
                <c:pt idx="6">
                  <c:v>25</c:v>
                </c:pt>
                <c:pt idx="7">
                  <c:v>31</c:v>
                </c:pt>
                <c:pt idx="8">
                  <c:v>30</c:v>
                </c:pt>
              </c:numCache>
            </c:numRef>
          </c:yVal>
          <c:smooth val="1"/>
          <c:extLst xmlns:c16r2="http://schemas.microsoft.com/office/drawing/2015/06/chart">
            <c:ext xmlns:c16="http://schemas.microsoft.com/office/drawing/2014/chart" uri="{C3380CC4-5D6E-409C-BE32-E72D297353CC}">
              <c16:uniqueId val="{00000002-F588-4060-8A1D-5DD097533912}"/>
            </c:ext>
          </c:extLst>
        </c:ser>
        <c:dLbls>
          <c:showLegendKey val="0"/>
          <c:showVal val="0"/>
          <c:showCatName val="0"/>
          <c:showSerName val="0"/>
          <c:showPercent val="0"/>
          <c:showBubbleSize val="0"/>
        </c:dLbls>
        <c:axId val="1400339616"/>
        <c:axId val="1400340160"/>
      </c:scatterChart>
      <c:valAx>
        <c:axId val="1400339616"/>
        <c:scaling>
          <c:orientation val="minMax"/>
          <c:max val="2019"/>
          <c:min val="201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0160"/>
        <c:crosses val="autoZero"/>
        <c:crossBetween val="midCat"/>
      </c:valAx>
      <c:valAx>
        <c:axId val="1400340160"/>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39616"/>
        <c:crosses val="autoZero"/>
        <c:crossBetween val="midCat"/>
      </c:valAx>
      <c:spPr>
        <a:noFill/>
        <a:ln>
          <a:noFill/>
        </a:ln>
        <a:effectLst/>
      </c:spPr>
    </c:plotArea>
    <c:legend>
      <c:legendPos val="b"/>
      <c:layout>
        <c:manualLayout>
          <c:xMode val="edge"/>
          <c:yMode val="edge"/>
          <c:x val="8.5262467191601129E-3"/>
          <c:y val="0.71238261883931175"/>
          <c:w val="0.96628062117235347"/>
          <c:h val="0.132023703222664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2.attēls. Negadījumu</a:t>
            </a:r>
            <a:r>
              <a:rPr lang="lv-LV" sz="1000" b="1" baseline="0">
                <a:solidFill>
                  <a:sysClr val="windowText" lastClr="000000"/>
                </a:solidFill>
              </a:rPr>
              <a:t> un cietušo skaits pa gadiem</a:t>
            </a:r>
            <a:endParaRPr lang="lv-LV" sz="1000" b="1">
              <a:solidFill>
                <a:sysClr val="windowText" lastClr="000000"/>
              </a:solidFill>
            </a:endParaRPr>
          </a:p>
        </c:rich>
      </c:tx>
      <c:layout>
        <c:manualLayout>
          <c:xMode val="edge"/>
          <c:yMode val="edge"/>
          <c:x val="0.57734726852837082"/>
          <c:y val="0.92824412602526485"/>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5.2400747203896814E-2"/>
          <c:y val="4.4783707834552253E-2"/>
          <c:w val="0.92557723077408127"/>
          <c:h val="0.74321271972707903"/>
        </c:manualLayout>
      </c:layout>
      <c:barChart>
        <c:barDir val="col"/>
        <c:grouping val="stacked"/>
        <c:varyColors val="0"/>
        <c:ser>
          <c:idx val="1"/>
          <c:order val="1"/>
          <c:tx>
            <c:strRef>
              <c:f>Sheet1!$B$3</c:f>
              <c:strCache>
                <c:ptCount val="1"/>
                <c:pt idx="0">
                  <c:v>Miesas bojājumi</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Sheet1!$C$1:$R$1</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Sheet1!$C$3:$R$3</c:f>
              <c:numCache>
                <c:formatCode>General</c:formatCode>
                <c:ptCount val="16"/>
                <c:pt idx="0">
                  <c:v>42</c:v>
                </c:pt>
                <c:pt idx="1">
                  <c:v>32</c:v>
                </c:pt>
                <c:pt idx="2">
                  <c:v>33</c:v>
                </c:pt>
                <c:pt idx="3">
                  <c:v>17</c:v>
                </c:pt>
                <c:pt idx="4">
                  <c:v>31</c:v>
                </c:pt>
                <c:pt idx="5">
                  <c:v>12</c:v>
                </c:pt>
                <c:pt idx="6">
                  <c:v>15</c:v>
                </c:pt>
                <c:pt idx="7">
                  <c:v>21</c:v>
                </c:pt>
                <c:pt idx="8">
                  <c:v>8</c:v>
                </c:pt>
                <c:pt idx="9">
                  <c:v>10</c:v>
                </c:pt>
                <c:pt idx="10">
                  <c:v>7</c:v>
                </c:pt>
                <c:pt idx="11">
                  <c:v>18</c:v>
                </c:pt>
                <c:pt idx="12">
                  <c:v>3</c:v>
                </c:pt>
                <c:pt idx="13">
                  <c:v>8</c:v>
                </c:pt>
                <c:pt idx="14">
                  <c:v>8</c:v>
                </c:pt>
                <c:pt idx="15">
                  <c:v>6</c:v>
                </c:pt>
              </c:numCache>
            </c:numRef>
          </c:val>
          <c:extLst xmlns:c16r2="http://schemas.microsoft.com/office/drawing/2015/06/chart">
            <c:ext xmlns:c16="http://schemas.microsoft.com/office/drawing/2014/chart" uri="{C3380CC4-5D6E-409C-BE32-E72D297353CC}">
              <c16:uniqueId val="{00000000-B382-4EBD-B096-E6AA75275B05}"/>
            </c:ext>
          </c:extLst>
        </c:ser>
        <c:ser>
          <c:idx val="2"/>
          <c:order val="2"/>
          <c:tx>
            <c:strRef>
              <c:f>Sheet1!$B$4</c:f>
              <c:strCache>
                <c:ptCount val="1"/>
                <c:pt idx="0">
                  <c:v>Letāli</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Sheet1!$C$1:$R$1</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Sheet1!$C$4:$R$4</c:f>
              <c:numCache>
                <c:formatCode>General</c:formatCode>
                <c:ptCount val="16"/>
                <c:pt idx="0">
                  <c:v>32</c:v>
                </c:pt>
                <c:pt idx="1">
                  <c:v>34</c:v>
                </c:pt>
                <c:pt idx="2">
                  <c:v>30</c:v>
                </c:pt>
                <c:pt idx="3">
                  <c:v>28</c:v>
                </c:pt>
                <c:pt idx="4">
                  <c:v>29</c:v>
                </c:pt>
                <c:pt idx="5">
                  <c:v>18</c:v>
                </c:pt>
                <c:pt idx="6">
                  <c:v>22</c:v>
                </c:pt>
                <c:pt idx="7">
                  <c:v>13</c:v>
                </c:pt>
                <c:pt idx="8">
                  <c:v>18</c:v>
                </c:pt>
                <c:pt idx="9">
                  <c:v>14</c:v>
                </c:pt>
                <c:pt idx="10">
                  <c:v>15</c:v>
                </c:pt>
                <c:pt idx="11">
                  <c:v>8</c:v>
                </c:pt>
                <c:pt idx="12">
                  <c:v>15</c:v>
                </c:pt>
                <c:pt idx="13">
                  <c:v>16</c:v>
                </c:pt>
                <c:pt idx="14">
                  <c:v>12</c:v>
                </c:pt>
                <c:pt idx="15">
                  <c:v>13</c:v>
                </c:pt>
              </c:numCache>
            </c:numRef>
          </c:val>
          <c:extLst xmlns:c16r2="http://schemas.microsoft.com/office/drawing/2015/06/chart">
            <c:ext xmlns:c16="http://schemas.microsoft.com/office/drawing/2014/chart" uri="{C3380CC4-5D6E-409C-BE32-E72D297353CC}">
              <c16:uniqueId val="{00000001-B382-4EBD-B096-E6AA75275B05}"/>
            </c:ext>
          </c:extLst>
        </c:ser>
        <c:dLbls>
          <c:showLegendKey val="0"/>
          <c:showVal val="0"/>
          <c:showCatName val="0"/>
          <c:showSerName val="0"/>
          <c:showPercent val="0"/>
          <c:showBubbleSize val="0"/>
        </c:dLbls>
        <c:gapWidth val="38"/>
        <c:overlap val="100"/>
        <c:axId val="1400349408"/>
        <c:axId val="1400345600"/>
      </c:barChart>
      <c:lineChart>
        <c:grouping val="standard"/>
        <c:varyColors val="0"/>
        <c:ser>
          <c:idx val="0"/>
          <c:order val="0"/>
          <c:tx>
            <c:strRef>
              <c:f>Sheet1!$B$2</c:f>
              <c:strCache>
                <c:ptCount val="1"/>
                <c:pt idx="0">
                  <c:v>Nopietni negadījumi</c:v>
                </c:pt>
              </c:strCache>
            </c:strRef>
          </c:tx>
          <c:spPr>
            <a:ln w="28575" cap="rnd">
              <a:solidFill>
                <a:srgbClr val="C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Sheet1!$C$1:$R$1</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Sheet1!$C$2:$R$2</c:f>
              <c:numCache>
                <c:formatCode>General</c:formatCode>
                <c:ptCount val="16"/>
                <c:pt idx="0">
                  <c:v>70</c:v>
                </c:pt>
                <c:pt idx="1">
                  <c:v>57</c:v>
                </c:pt>
                <c:pt idx="2">
                  <c:v>63</c:v>
                </c:pt>
                <c:pt idx="3">
                  <c:v>51</c:v>
                </c:pt>
                <c:pt idx="4">
                  <c:v>61</c:v>
                </c:pt>
                <c:pt idx="5">
                  <c:v>31</c:v>
                </c:pt>
                <c:pt idx="6">
                  <c:v>41</c:v>
                </c:pt>
                <c:pt idx="7">
                  <c:v>35</c:v>
                </c:pt>
                <c:pt idx="8">
                  <c:v>25</c:v>
                </c:pt>
                <c:pt idx="9">
                  <c:v>26</c:v>
                </c:pt>
                <c:pt idx="10">
                  <c:v>22</c:v>
                </c:pt>
                <c:pt idx="11">
                  <c:v>25</c:v>
                </c:pt>
                <c:pt idx="12">
                  <c:v>18</c:v>
                </c:pt>
                <c:pt idx="13">
                  <c:v>24</c:v>
                </c:pt>
                <c:pt idx="14">
                  <c:v>20</c:v>
                </c:pt>
                <c:pt idx="15">
                  <c:v>19</c:v>
                </c:pt>
              </c:numCache>
            </c:numRef>
          </c:val>
          <c:smooth val="1"/>
          <c:extLst xmlns:c16r2="http://schemas.microsoft.com/office/drawing/2015/06/chart">
            <c:ext xmlns:c16="http://schemas.microsoft.com/office/drawing/2014/chart" uri="{C3380CC4-5D6E-409C-BE32-E72D297353CC}">
              <c16:uniqueId val="{00000002-B382-4EBD-B096-E6AA75275B05}"/>
            </c:ext>
          </c:extLst>
        </c:ser>
        <c:dLbls>
          <c:showLegendKey val="0"/>
          <c:showVal val="0"/>
          <c:showCatName val="0"/>
          <c:showSerName val="0"/>
          <c:showPercent val="0"/>
          <c:showBubbleSize val="0"/>
        </c:dLbls>
        <c:marker val="1"/>
        <c:smooth val="0"/>
        <c:axId val="1400349408"/>
        <c:axId val="1400345600"/>
      </c:lineChart>
      <c:catAx>
        <c:axId val="140034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5600"/>
        <c:crosses val="autoZero"/>
        <c:auto val="1"/>
        <c:lblAlgn val="ctr"/>
        <c:lblOffset val="100"/>
        <c:noMultiLvlLbl val="0"/>
      </c:catAx>
      <c:valAx>
        <c:axId val="1400345600"/>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lv-LV" b="1">
                    <a:solidFill>
                      <a:sysClr val="windowText" lastClr="000000"/>
                    </a:solidFill>
                  </a:rPr>
                  <a:t>Skaits</a:t>
                </a:r>
              </a:p>
            </c:rich>
          </c:tx>
          <c:layout>
            <c:manualLayout>
              <c:xMode val="edge"/>
              <c:yMode val="edge"/>
              <c:x val="1.5696168609554435E-2"/>
              <c:y val="0.8530616732885859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9408"/>
        <c:crosses val="autoZero"/>
        <c:crossBetween val="between"/>
      </c:valAx>
      <c:spPr>
        <a:noFill/>
        <a:ln>
          <a:noFill/>
        </a:ln>
        <a:effectLst/>
      </c:spPr>
    </c:plotArea>
    <c:legend>
      <c:legendPos val="b"/>
      <c:layout>
        <c:manualLayout>
          <c:xMode val="edge"/>
          <c:yMode val="edge"/>
          <c:x val="0.25469059610791894"/>
          <c:y val="0.85394356291101159"/>
          <c:w val="0.54244023551110165"/>
          <c:h val="6.87027599202164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3.attēls.</a:t>
            </a:r>
            <a:r>
              <a:rPr lang="lv-LV" sz="1000" b="1" baseline="0">
                <a:solidFill>
                  <a:sysClr val="windowText" lastClr="000000"/>
                </a:solidFill>
              </a:rPr>
              <a:t> </a:t>
            </a:r>
            <a:r>
              <a:rPr lang="lv-LV" sz="1000" b="1">
                <a:solidFill>
                  <a:sysClr val="windowText" lastClr="000000"/>
                </a:solidFill>
              </a:rPr>
              <a:t>Negadījumu</a:t>
            </a:r>
            <a:r>
              <a:rPr lang="lv-LV" sz="1000" b="1" baseline="0">
                <a:solidFill>
                  <a:sysClr val="windowText" lastClr="000000"/>
                </a:solidFill>
              </a:rPr>
              <a:t> īpatsvars % (2004.-2019.gads)</a:t>
            </a:r>
            <a:endParaRPr lang="lv-LV" sz="1000" b="1">
              <a:solidFill>
                <a:sysClr val="windowText" lastClr="000000"/>
              </a:solidFill>
            </a:endParaRPr>
          </a:p>
        </c:rich>
      </c:tx>
      <c:layout>
        <c:manualLayout>
          <c:xMode val="edge"/>
          <c:yMode val="edge"/>
          <c:x val="0.70221256204098748"/>
          <c:y val="0.90160984855598936"/>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3484452322828747E-2"/>
          <c:y val="4.2021787683896014E-2"/>
          <c:w val="0.91518221597272509"/>
          <c:h val="0.6464760100336634"/>
        </c:manualLayout>
      </c:layout>
      <c:barChart>
        <c:barDir val="col"/>
        <c:grouping val="clustered"/>
        <c:varyColors val="0"/>
        <c:ser>
          <c:idx val="0"/>
          <c:order val="0"/>
          <c:spPr>
            <a:solidFill>
              <a:schemeClr val="bg2">
                <a:lumMod val="75000"/>
              </a:schemeClr>
            </a:solidFill>
            <a:ln>
              <a:noFill/>
            </a:ln>
            <a:effectLst/>
          </c:spPr>
          <c:invertIfNegative val="0"/>
          <c:dPt>
            <c:idx val="3"/>
            <c:invertIfNegative val="0"/>
            <c:bubble3D val="0"/>
            <c:spPr>
              <a:solidFill>
                <a:schemeClr val="accent3">
                  <a:lumMod val="50000"/>
                </a:schemeClr>
              </a:solidFill>
              <a:ln>
                <a:noFill/>
              </a:ln>
              <a:effectLst/>
            </c:spPr>
            <c:extLst xmlns:c16r2="http://schemas.microsoft.com/office/drawing/2015/06/chart">
              <c:ext xmlns:c16="http://schemas.microsoft.com/office/drawing/2014/chart" uri="{C3380CC4-5D6E-409C-BE32-E72D297353CC}">
                <c16:uniqueId val="{00000001-7989-4F17-BF0E-EE53B50654DC}"/>
              </c:ext>
            </c:extLst>
          </c:dPt>
          <c:dPt>
            <c:idx val="4"/>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7989-4F17-BF0E-EE53B50654D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Sheet1!$B$72:$B$78</c:f>
              <c:strCache>
                <c:ptCount val="7"/>
                <c:pt idx="0">
                  <c:v>Sadursmes</c:v>
                </c:pt>
                <c:pt idx="1">
                  <c:v>Sadursmes ar šķēršļiem</c:v>
                </c:pt>
                <c:pt idx="2">
                  <c:v>Nobraukšana no sliedēm</c:v>
                </c:pt>
                <c:pt idx="3">
                  <c:v>Negadījumi uz dzelzceļa pārbrauktuvēm</c:v>
                </c:pt>
                <c:pt idx="4">
                  <c:v>Negadījumi ar personām vilciena  kustības laikā</c:v>
                </c:pt>
                <c:pt idx="5">
                  <c:v>Ritošā sastāva ugunsgrēks</c:v>
                </c:pt>
                <c:pt idx="6">
                  <c:v>Citi nopietni negadījumi</c:v>
                </c:pt>
              </c:strCache>
            </c:strRef>
          </c:cat>
          <c:val>
            <c:numRef>
              <c:f>Sheet1!$D$72:$D$78</c:f>
              <c:numCache>
                <c:formatCode>General</c:formatCode>
                <c:ptCount val="7"/>
                <c:pt idx="0">
                  <c:v>0.87</c:v>
                </c:pt>
                <c:pt idx="1">
                  <c:v>0</c:v>
                </c:pt>
                <c:pt idx="2">
                  <c:v>1.73</c:v>
                </c:pt>
                <c:pt idx="3">
                  <c:v>22.76</c:v>
                </c:pt>
                <c:pt idx="4">
                  <c:v>71.47</c:v>
                </c:pt>
                <c:pt idx="5">
                  <c:v>0.28999999999999998</c:v>
                </c:pt>
                <c:pt idx="6">
                  <c:v>2.88</c:v>
                </c:pt>
              </c:numCache>
            </c:numRef>
          </c:val>
          <c:extLst xmlns:c16r2="http://schemas.microsoft.com/office/drawing/2015/06/chart">
            <c:ext xmlns:c16="http://schemas.microsoft.com/office/drawing/2014/chart" uri="{C3380CC4-5D6E-409C-BE32-E72D297353CC}">
              <c16:uniqueId val="{00000004-7989-4F17-BF0E-EE53B50654DC}"/>
            </c:ext>
          </c:extLst>
        </c:ser>
        <c:dLbls>
          <c:showLegendKey val="0"/>
          <c:showVal val="0"/>
          <c:showCatName val="0"/>
          <c:showSerName val="0"/>
          <c:showPercent val="0"/>
          <c:showBubbleSize val="0"/>
        </c:dLbls>
        <c:gapWidth val="18"/>
        <c:overlap val="1"/>
        <c:axId val="1400349952"/>
        <c:axId val="1400343424"/>
      </c:barChart>
      <c:catAx>
        <c:axId val="140034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3424"/>
        <c:crosses val="autoZero"/>
        <c:auto val="1"/>
        <c:lblAlgn val="ctr"/>
        <c:lblOffset val="100"/>
        <c:noMultiLvlLbl val="0"/>
      </c:catAx>
      <c:valAx>
        <c:axId val="1400343424"/>
        <c:scaling>
          <c:orientation val="minMax"/>
          <c:max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layout>
            <c:manualLayout>
              <c:xMode val="edge"/>
              <c:yMode val="edge"/>
              <c:x val="1.7454544121819585E-2"/>
              <c:y val="0.727775424589336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9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rPr>
              <a:t>4.attēls</a:t>
            </a:r>
            <a:r>
              <a:rPr lang="lv-LV" sz="1000" b="1">
                <a:solidFill>
                  <a:sysClr val="windowText" lastClr="000000"/>
                </a:solidFill>
              </a:rPr>
              <a:t>. "Iekšējo</a:t>
            </a:r>
            <a:r>
              <a:rPr lang="lv-LV" sz="1000" b="1" baseline="0">
                <a:solidFill>
                  <a:sysClr val="windowText" lastClr="000000"/>
                </a:solidFill>
              </a:rPr>
              <a:t> un ārējo" negadījumu sadalījums pa gadiem (2008.-2019.gads) </a:t>
            </a:r>
            <a:endParaRPr lang="en-US" sz="1000" b="1">
              <a:solidFill>
                <a:sysClr val="windowText" lastClr="000000"/>
              </a:solidFill>
            </a:endParaRPr>
          </a:p>
        </c:rich>
      </c:tx>
      <c:layout>
        <c:manualLayout>
          <c:xMode val="edge"/>
          <c:yMode val="edge"/>
          <c:x val="0.34246357424007851"/>
          <c:y val="0.9296062992125984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5453049169916849E-2"/>
          <c:y val="6.0601851851851872E-2"/>
          <c:w val="0.93066838933595686"/>
          <c:h val="0.59935877806940796"/>
        </c:manualLayout>
      </c:layout>
      <c:barChart>
        <c:barDir val="col"/>
        <c:grouping val="clustered"/>
        <c:varyColors val="0"/>
        <c:ser>
          <c:idx val="0"/>
          <c:order val="0"/>
          <c:tx>
            <c:strRef>
              <c:f>Sheet1!$B$108</c:f>
              <c:strCache>
                <c:ptCount val="1"/>
                <c:pt idx="0">
                  <c:v>"Iekšējie" negadījumi - sadursmes, nobraukšana, ritošā sastāva ugunsgrēks</c:v>
                </c:pt>
              </c:strCache>
            </c:strRef>
          </c:tx>
          <c:spPr>
            <a:solidFill>
              <a:schemeClr val="bg2">
                <a:lumMod val="50000"/>
              </a:schemeClr>
            </a:solidFill>
            <a:ln>
              <a:solidFill>
                <a:schemeClr val="bg2">
                  <a:lumMod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Sheet1!$C$107:$N$107</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Sheet1!$C$108:$N$108</c:f>
              <c:numCache>
                <c:formatCode>General</c:formatCode>
                <c:ptCount val="12"/>
                <c:pt idx="0">
                  <c:v>6</c:v>
                </c:pt>
                <c:pt idx="1">
                  <c:v>3</c:v>
                </c:pt>
                <c:pt idx="2">
                  <c:v>4</c:v>
                </c:pt>
                <c:pt idx="3">
                  <c:v>1</c:v>
                </c:pt>
                <c:pt idx="4">
                  <c:v>1</c:v>
                </c:pt>
                <c:pt idx="5">
                  <c:v>2</c:v>
                </c:pt>
                <c:pt idx="6">
                  <c:v>1</c:v>
                </c:pt>
                <c:pt idx="7">
                  <c:v>0</c:v>
                </c:pt>
                <c:pt idx="8">
                  <c:v>0</c:v>
                </c:pt>
                <c:pt idx="9">
                  <c:v>2</c:v>
                </c:pt>
                <c:pt idx="10">
                  <c:v>0</c:v>
                </c:pt>
                <c:pt idx="11">
                  <c:v>0</c:v>
                </c:pt>
              </c:numCache>
            </c:numRef>
          </c:val>
          <c:extLst xmlns:c16r2="http://schemas.microsoft.com/office/drawing/2015/06/chart">
            <c:ext xmlns:c16="http://schemas.microsoft.com/office/drawing/2014/chart" uri="{C3380CC4-5D6E-409C-BE32-E72D297353CC}">
              <c16:uniqueId val="{00000000-6F4C-47CC-B814-AE51B5A112F5}"/>
            </c:ext>
          </c:extLst>
        </c:ser>
        <c:ser>
          <c:idx val="1"/>
          <c:order val="1"/>
          <c:tx>
            <c:strRef>
              <c:f>Sheet1!$B$109</c:f>
              <c:strCache>
                <c:ptCount val="1"/>
                <c:pt idx="0">
                  <c:v>"Ārējie"negadījumi - negadījumi uz pārbrauktuvēm un pārejām, negadījumi ar personām vilcienu kustības laikā</c:v>
                </c:pt>
              </c:strCache>
            </c:strRef>
          </c:tx>
          <c:spPr>
            <a:solidFill>
              <a:srgbClr val="FF0000"/>
            </a:solidFill>
            <a:ln>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Sheet1!$C$107:$N$107</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Sheet1!$C$109:$N$109</c:f>
              <c:numCache>
                <c:formatCode>General</c:formatCode>
                <c:ptCount val="12"/>
                <c:pt idx="0">
                  <c:v>55</c:v>
                </c:pt>
                <c:pt idx="1">
                  <c:v>28</c:v>
                </c:pt>
                <c:pt idx="2">
                  <c:v>37</c:v>
                </c:pt>
                <c:pt idx="3">
                  <c:v>34</c:v>
                </c:pt>
                <c:pt idx="4">
                  <c:v>24</c:v>
                </c:pt>
                <c:pt idx="5">
                  <c:v>24</c:v>
                </c:pt>
                <c:pt idx="6">
                  <c:v>21</c:v>
                </c:pt>
                <c:pt idx="7">
                  <c:v>25</c:v>
                </c:pt>
                <c:pt idx="8">
                  <c:v>18</c:v>
                </c:pt>
                <c:pt idx="9">
                  <c:v>22</c:v>
                </c:pt>
                <c:pt idx="10">
                  <c:v>20</c:v>
                </c:pt>
                <c:pt idx="11">
                  <c:v>19</c:v>
                </c:pt>
              </c:numCache>
            </c:numRef>
          </c:val>
          <c:extLst xmlns:c16r2="http://schemas.microsoft.com/office/drawing/2015/06/chart">
            <c:ext xmlns:c16="http://schemas.microsoft.com/office/drawing/2014/chart" uri="{C3380CC4-5D6E-409C-BE32-E72D297353CC}">
              <c16:uniqueId val="{00000001-6F4C-47CC-B814-AE51B5A112F5}"/>
            </c:ext>
          </c:extLst>
        </c:ser>
        <c:dLbls>
          <c:showLegendKey val="0"/>
          <c:showVal val="0"/>
          <c:showCatName val="0"/>
          <c:showSerName val="0"/>
          <c:showPercent val="0"/>
          <c:showBubbleSize val="0"/>
        </c:dLbls>
        <c:gapWidth val="150"/>
        <c:axId val="1400335808"/>
        <c:axId val="1400343968"/>
      </c:barChart>
      <c:catAx>
        <c:axId val="140033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3968"/>
        <c:crosses val="autoZero"/>
        <c:auto val="1"/>
        <c:lblAlgn val="ctr"/>
        <c:lblOffset val="100"/>
        <c:noMultiLvlLbl val="0"/>
      </c:catAx>
      <c:valAx>
        <c:axId val="140034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35808"/>
        <c:crosses val="autoZero"/>
        <c:crossBetween val="between"/>
      </c:valAx>
      <c:spPr>
        <a:noFill/>
        <a:ln>
          <a:noFill/>
        </a:ln>
        <a:effectLst/>
      </c:spPr>
    </c:plotArea>
    <c:legend>
      <c:legendPos val="b"/>
      <c:layout>
        <c:manualLayout>
          <c:xMode val="edge"/>
          <c:yMode val="edge"/>
          <c:x val="4.5891828712011723E-2"/>
          <c:y val="0.76736001749781291"/>
          <c:w val="0.93399081392221106"/>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solidFill>
                  <a:srgbClr val="FF0000"/>
                </a:solidFill>
                <a:latin typeface="Calibri" panose="020F0502020204030204" pitchFamily="34" charset="0"/>
                <a:cs typeface="Calibri" panose="020F0502020204030204" pitchFamily="34" charset="0"/>
              </a:defRPr>
            </a:pPr>
            <a:r>
              <a:rPr lang="lv-LV" sz="1000">
                <a:solidFill>
                  <a:sysClr val="windowText" lastClr="000000"/>
                </a:solidFill>
                <a:latin typeface="Calibri" panose="020F0502020204030204" pitchFamily="34" charset="0"/>
                <a:cs typeface="Calibri" panose="020F0502020204030204" pitchFamily="34" charset="0"/>
              </a:rPr>
              <a:t>5.attēls </a:t>
            </a:r>
            <a:r>
              <a:rPr lang="en-US" sz="1000">
                <a:solidFill>
                  <a:sysClr val="windowText" lastClr="000000"/>
                </a:solidFill>
                <a:latin typeface="Calibri" panose="020F0502020204030204" pitchFamily="34" charset="0"/>
                <a:cs typeface="Calibri" panose="020F0502020204030204" pitchFamily="34" charset="0"/>
              </a:rPr>
              <a:t>Cietuš</a:t>
            </a:r>
            <a:r>
              <a:rPr lang="lv-LV" sz="1000">
                <a:solidFill>
                  <a:sysClr val="windowText" lastClr="000000"/>
                </a:solidFill>
                <a:latin typeface="Calibri" panose="020F0502020204030204" pitchFamily="34" charset="0"/>
                <a:cs typeface="Calibri" panose="020F0502020204030204" pitchFamily="34" charset="0"/>
              </a:rPr>
              <a:t>o</a:t>
            </a:r>
            <a:r>
              <a:rPr lang="lv-LV" sz="1000" baseline="0">
                <a:solidFill>
                  <a:sysClr val="windowText" lastClr="000000"/>
                </a:solidFill>
                <a:latin typeface="Calibri" panose="020F0502020204030204" pitchFamily="34" charset="0"/>
                <a:cs typeface="Calibri" panose="020F0502020204030204" pitchFamily="34" charset="0"/>
              </a:rPr>
              <a:t> skaits mēnesī (2004-2019)</a:t>
            </a:r>
            <a:r>
              <a:rPr lang="en-US" sz="1000">
                <a:solidFill>
                  <a:sysClr val="windowText" lastClr="000000"/>
                </a:solidFill>
                <a:latin typeface="Calibri" panose="020F0502020204030204" pitchFamily="34" charset="0"/>
                <a:cs typeface="Calibri" panose="020F0502020204030204" pitchFamily="34" charset="0"/>
              </a:rPr>
              <a:t> </a:t>
            </a:r>
          </a:p>
        </c:rich>
      </c:tx>
      <c:layout>
        <c:manualLayout>
          <c:xMode val="edge"/>
          <c:yMode val="edge"/>
          <c:x val="0.54905817423506997"/>
          <c:y val="0.92"/>
        </c:manualLayout>
      </c:layout>
      <c:overlay val="0"/>
    </c:title>
    <c:autoTitleDeleted val="0"/>
    <c:plotArea>
      <c:layout>
        <c:manualLayout>
          <c:layoutTarget val="inner"/>
          <c:xMode val="edge"/>
          <c:yMode val="edge"/>
          <c:x val="0.11214809621400065"/>
          <c:y val="7.1455818022747142E-2"/>
          <c:w val="0.78686765181749563"/>
          <c:h val="0.71178967629046375"/>
        </c:manualLayout>
      </c:layout>
      <c:barChart>
        <c:barDir val="col"/>
        <c:grouping val="clustered"/>
        <c:varyColors val="0"/>
        <c:ser>
          <c:idx val="0"/>
          <c:order val="0"/>
          <c:tx>
            <c:v>Frequency</c:v>
          </c:tx>
          <c:spPr>
            <a:solidFill>
              <a:schemeClr val="bg1">
                <a:lumMod val="65000"/>
              </a:schemeClr>
            </a:solidFill>
          </c:spPr>
          <c:invertIfNegative val="0"/>
          <c:cat>
            <c:strRef>
              <c:f>Cietusie_anal!$Q$53:$Q$65</c:f>
              <c:strCache>
                <c:ptCount val="13"/>
                <c:pt idx="0">
                  <c:v>0</c:v>
                </c:pt>
                <c:pt idx="1">
                  <c:v>1,5</c:v>
                </c:pt>
                <c:pt idx="2">
                  <c:v>3</c:v>
                </c:pt>
                <c:pt idx="3">
                  <c:v>4,5</c:v>
                </c:pt>
                <c:pt idx="4">
                  <c:v>6</c:v>
                </c:pt>
                <c:pt idx="5">
                  <c:v>7,5</c:v>
                </c:pt>
                <c:pt idx="6">
                  <c:v>9</c:v>
                </c:pt>
                <c:pt idx="7">
                  <c:v>10,5</c:v>
                </c:pt>
                <c:pt idx="8">
                  <c:v>12</c:v>
                </c:pt>
                <c:pt idx="9">
                  <c:v>13,5</c:v>
                </c:pt>
                <c:pt idx="10">
                  <c:v>15</c:v>
                </c:pt>
                <c:pt idx="11">
                  <c:v>16,5</c:v>
                </c:pt>
                <c:pt idx="12">
                  <c:v>Vairāk</c:v>
                </c:pt>
              </c:strCache>
            </c:strRef>
          </c:cat>
          <c:val>
            <c:numRef>
              <c:f>Cietusie_anal!$R$53:$R$65</c:f>
              <c:numCache>
                <c:formatCode>General</c:formatCode>
                <c:ptCount val="13"/>
                <c:pt idx="0">
                  <c:v>7</c:v>
                </c:pt>
                <c:pt idx="1">
                  <c:v>24</c:v>
                </c:pt>
                <c:pt idx="2">
                  <c:v>44</c:v>
                </c:pt>
                <c:pt idx="3">
                  <c:v>25</c:v>
                </c:pt>
                <c:pt idx="4">
                  <c:v>30</c:v>
                </c:pt>
                <c:pt idx="5">
                  <c:v>10</c:v>
                </c:pt>
                <c:pt idx="6">
                  <c:v>12</c:v>
                </c:pt>
                <c:pt idx="7">
                  <c:v>2</c:v>
                </c:pt>
                <c:pt idx="8">
                  <c:v>0</c:v>
                </c:pt>
                <c:pt idx="9">
                  <c:v>0</c:v>
                </c:pt>
                <c:pt idx="10">
                  <c:v>0</c:v>
                </c:pt>
                <c:pt idx="11">
                  <c:v>0</c:v>
                </c:pt>
                <c:pt idx="12">
                  <c:v>1</c:v>
                </c:pt>
              </c:numCache>
            </c:numRef>
          </c:val>
          <c:extLst xmlns:c16r2="http://schemas.microsoft.com/office/drawing/2015/06/chart">
            <c:ext xmlns:c16="http://schemas.microsoft.com/office/drawing/2014/chart" uri="{C3380CC4-5D6E-409C-BE32-E72D297353CC}">
              <c16:uniqueId val="{00000000-5DDA-4D45-A15F-86B9A6D0EA87}"/>
            </c:ext>
          </c:extLst>
        </c:ser>
        <c:dLbls>
          <c:showLegendKey val="0"/>
          <c:showVal val="0"/>
          <c:showCatName val="0"/>
          <c:showSerName val="0"/>
          <c:showPercent val="0"/>
          <c:showBubbleSize val="0"/>
        </c:dLbls>
        <c:gapWidth val="24"/>
        <c:axId val="1400345056"/>
        <c:axId val="1400341792"/>
      </c:barChart>
      <c:lineChart>
        <c:grouping val="standard"/>
        <c:varyColors val="0"/>
        <c:ser>
          <c:idx val="1"/>
          <c:order val="1"/>
          <c:tx>
            <c:v>Cumulative %</c:v>
          </c:tx>
          <c:spPr>
            <a:ln>
              <a:solidFill>
                <a:srgbClr val="C00000"/>
              </a:solidFill>
            </a:ln>
          </c:spPr>
          <c:marker>
            <c:spPr>
              <a:solidFill>
                <a:srgbClr val="C00000"/>
              </a:solidFill>
              <a:ln>
                <a:solidFill>
                  <a:srgbClr val="C00000"/>
                </a:solidFill>
              </a:ln>
            </c:spPr>
          </c:marker>
          <c:dLbls>
            <c:dLbl>
              <c:idx val="6"/>
              <c:delete val="1"/>
              <c:extLst xmlns:c16r2="http://schemas.microsoft.com/office/drawing/2015/06/chart">
                <c:ext xmlns:c16="http://schemas.microsoft.com/office/drawing/2014/chart" uri="{C3380CC4-5D6E-409C-BE32-E72D297353CC}">
                  <c16:uniqueId val="{00000001-5DDA-4D45-A15F-86B9A6D0EA87}"/>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2-5DDA-4D45-A15F-86B9A6D0EA87}"/>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03-5DDA-4D45-A15F-86B9A6D0EA87}"/>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4-5DDA-4D45-A15F-86B9A6D0EA87}"/>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Cietusie_anal!$Q$53:$Q$65</c:f>
              <c:strCache>
                <c:ptCount val="13"/>
                <c:pt idx="0">
                  <c:v>0</c:v>
                </c:pt>
                <c:pt idx="1">
                  <c:v>1,5</c:v>
                </c:pt>
                <c:pt idx="2">
                  <c:v>3</c:v>
                </c:pt>
                <c:pt idx="3">
                  <c:v>4,5</c:v>
                </c:pt>
                <c:pt idx="4">
                  <c:v>6</c:v>
                </c:pt>
                <c:pt idx="5">
                  <c:v>7,5</c:v>
                </c:pt>
                <c:pt idx="6">
                  <c:v>9</c:v>
                </c:pt>
                <c:pt idx="7">
                  <c:v>10,5</c:v>
                </c:pt>
                <c:pt idx="8">
                  <c:v>12</c:v>
                </c:pt>
                <c:pt idx="9">
                  <c:v>13,5</c:v>
                </c:pt>
                <c:pt idx="10">
                  <c:v>15</c:v>
                </c:pt>
                <c:pt idx="11">
                  <c:v>16,5</c:v>
                </c:pt>
                <c:pt idx="12">
                  <c:v>Vairāk</c:v>
                </c:pt>
              </c:strCache>
            </c:strRef>
          </c:cat>
          <c:val>
            <c:numRef>
              <c:f>Cietusie_anal!$S$53:$S$65</c:f>
              <c:numCache>
                <c:formatCode>0.00%</c:formatCode>
                <c:ptCount val="13"/>
                <c:pt idx="0">
                  <c:v>4.5161290322580643E-2</c:v>
                </c:pt>
                <c:pt idx="1">
                  <c:v>0.2</c:v>
                </c:pt>
                <c:pt idx="2">
                  <c:v>0.4838709677419355</c:v>
                </c:pt>
                <c:pt idx="3">
                  <c:v>0.64516129032258063</c:v>
                </c:pt>
                <c:pt idx="4">
                  <c:v>0.83870967741935487</c:v>
                </c:pt>
                <c:pt idx="5">
                  <c:v>0.90322580645161288</c:v>
                </c:pt>
                <c:pt idx="6">
                  <c:v>0.98064516129032253</c:v>
                </c:pt>
                <c:pt idx="7">
                  <c:v>0.99354838709677418</c:v>
                </c:pt>
                <c:pt idx="8">
                  <c:v>0.99354838709677418</c:v>
                </c:pt>
                <c:pt idx="9">
                  <c:v>0.99354838709677418</c:v>
                </c:pt>
                <c:pt idx="10">
                  <c:v>0.99354838709677418</c:v>
                </c:pt>
                <c:pt idx="11">
                  <c:v>0.99354838709677418</c:v>
                </c:pt>
                <c:pt idx="12">
                  <c:v>1</c:v>
                </c:pt>
              </c:numCache>
            </c:numRef>
          </c:val>
          <c:smooth val="1"/>
          <c:extLst xmlns:c16r2="http://schemas.microsoft.com/office/drawing/2015/06/chart">
            <c:ext xmlns:c16="http://schemas.microsoft.com/office/drawing/2014/chart" uri="{C3380CC4-5D6E-409C-BE32-E72D297353CC}">
              <c16:uniqueId val="{00000005-5DDA-4D45-A15F-86B9A6D0EA87}"/>
            </c:ext>
          </c:extLst>
        </c:ser>
        <c:dLbls>
          <c:showLegendKey val="0"/>
          <c:showVal val="0"/>
          <c:showCatName val="0"/>
          <c:showSerName val="0"/>
          <c:showPercent val="0"/>
          <c:showBubbleSize val="0"/>
        </c:dLbls>
        <c:marker val="1"/>
        <c:smooth val="0"/>
        <c:axId val="1400337440"/>
        <c:axId val="1400347776"/>
      </c:lineChart>
      <c:catAx>
        <c:axId val="1400345056"/>
        <c:scaling>
          <c:orientation val="minMax"/>
        </c:scaling>
        <c:delete val="0"/>
        <c:axPos val="b"/>
        <c:title>
          <c:tx>
            <c:rich>
              <a:bodyPr/>
              <a:lstStyle/>
              <a:p>
                <a:pPr>
                  <a:defRPr/>
                </a:pPr>
                <a:r>
                  <a:rPr lang="lv-LV"/>
                  <a:t>Intervālu viduspunkti</a:t>
                </a:r>
                <a:endParaRPr lang="en-US"/>
              </a:p>
            </c:rich>
          </c:tx>
          <c:layout>
            <c:manualLayout>
              <c:xMode val="edge"/>
              <c:yMode val="edge"/>
              <c:x val="0.37996297484757979"/>
              <c:y val="0.85014191022732333"/>
            </c:manualLayout>
          </c:layout>
          <c:overlay val="0"/>
        </c:title>
        <c:numFmt formatCode="General" sourceLinked="1"/>
        <c:majorTickMark val="out"/>
        <c:minorTickMark val="none"/>
        <c:tickLblPos val="nextTo"/>
        <c:crossAx val="1400341792"/>
        <c:crosses val="autoZero"/>
        <c:auto val="1"/>
        <c:lblAlgn val="ctr"/>
        <c:lblOffset val="100"/>
        <c:noMultiLvlLbl val="0"/>
      </c:catAx>
      <c:valAx>
        <c:axId val="1400341792"/>
        <c:scaling>
          <c:orientation val="minMax"/>
        </c:scaling>
        <c:delete val="0"/>
        <c:axPos val="l"/>
        <c:title>
          <c:tx>
            <c:rich>
              <a:bodyPr/>
              <a:lstStyle/>
              <a:p>
                <a:pPr>
                  <a:defRPr/>
                </a:pPr>
                <a:r>
                  <a:rPr lang="en-US"/>
                  <a:t>Biežums</a:t>
                </a:r>
              </a:p>
            </c:rich>
          </c:tx>
          <c:layout/>
          <c:overlay val="0"/>
        </c:title>
        <c:numFmt formatCode="General" sourceLinked="1"/>
        <c:majorTickMark val="out"/>
        <c:minorTickMark val="none"/>
        <c:tickLblPos val="nextTo"/>
        <c:crossAx val="1400345056"/>
        <c:crosses val="autoZero"/>
        <c:crossBetween val="between"/>
      </c:valAx>
      <c:valAx>
        <c:axId val="1400347776"/>
        <c:scaling>
          <c:orientation val="minMax"/>
        </c:scaling>
        <c:delete val="0"/>
        <c:axPos val="r"/>
        <c:numFmt formatCode="0.00%" sourceLinked="1"/>
        <c:majorTickMark val="out"/>
        <c:minorTickMark val="none"/>
        <c:tickLblPos val="nextTo"/>
        <c:crossAx val="1400337440"/>
        <c:crosses val="max"/>
        <c:crossBetween val="between"/>
      </c:valAx>
      <c:catAx>
        <c:axId val="1400337440"/>
        <c:scaling>
          <c:orientation val="minMax"/>
        </c:scaling>
        <c:delete val="1"/>
        <c:axPos val="b"/>
        <c:numFmt formatCode="General" sourceLinked="1"/>
        <c:majorTickMark val="out"/>
        <c:minorTickMark val="none"/>
        <c:tickLblPos val="nextTo"/>
        <c:crossAx val="1400347776"/>
        <c:crosses val="autoZero"/>
        <c:auto val="1"/>
        <c:lblAlgn val="ctr"/>
        <c:lblOffset val="100"/>
        <c:noMultiLvlLbl val="0"/>
      </c:catAx>
    </c:plotArea>
    <c:legend>
      <c:legendPos val="r"/>
      <c:layout>
        <c:manualLayout>
          <c:xMode val="edge"/>
          <c:yMode val="edge"/>
          <c:x val="1.0944470499181335E-2"/>
          <c:y val="0.93079985764491291"/>
          <c:w val="0.36634757127961742"/>
          <c:h val="4.073700787401574E-2"/>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6.attēls. Cietušo</a:t>
            </a:r>
            <a:r>
              <a:rPr lang="lv-LV" sz="1000" b="1" baseline="0">
                <a:solidFill>
                  <a:sysClr val="windowText" lastClr="000000"/>
                </a:solidFill>
              </a:rPr>
              <a:t> skaits sadalījumā pa cietušo kategorijām (2004-2019)</a:t>
            </a:r>
            <a:endParaRPr lang="lv-LV" sz="1000" b="1">
              <a:solidFill>
                <a:sysClr val="windowText" lastClr="000000"/>
              </a:solidFill>
            </a:endParaRPr>
          </a:p>
        </c:rich>
      </c:tx>
      <c:layout>
        <c:manualLayout>
          <c:xMode val="edge"/>
          <c:yMode val="edge"/>
          <c:x val="0.7294340149927302"/>
          <c:y val="0.90277777777777779"/>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22830612360505295"/>
          <c:y val="6.0601851851851872E-2"/>
          <c:w val="0.74706078286976718"/>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extLst xmlns:c16r2="http://schemas.microsoft.com/office/drawing/2015/06/chart">
              <c:ext xmlns:c16="http://schemas.microsoft.com/office/drawing/2014/chart" uri="{C3380CC4-5D6E-409C-BE32-E72D297353CC}">
                <c16:uniqueId val="{00000006-3987-4446-87A5-6434FCD9D54A}"/>
              </c:ext>
            </c:extLst>
          </c:dPt>
          <c:dPt>
            <c:idx val="1"/>
            <c:invertIfNegative val="0"/>
            <c:bubble3D val="0"/>
            <c:spPr>
              <a:solidFill>
                <a:schemeClr val="bg1">
                  <a:lumMod val="50000"/>
                </a:schemeClr>
              </a:solidFill>
              <a:ln>
                <a:noFill/>
              </a:ln>
              <a:effectLst/>
            </c:spPr>
            <c:extLst xmlns:c16r2="http://schemas.microsoft.com/office/drawing/2015/06/chart">
              <c:ext xmlns:c16="http://schemas.microsoft.com/office/drawing/2014/chart" uri="{C3380CC4-5D6E-409C-BE32-E72D297353CC}">
                <c16:uniqueId val="{00000005-3987-4446-87A5-6434FCD9D54A}"/>
              </c:ext>
            </c:extLst>
          </c:dPt>
          <c:dPt>
            <c:idx val="2"/>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4-3987-4446-87A5-6434FCD9D54A}"/>
              </c:ext>
            </c:extLst>
          </c:dPt>
          <c:dPt>
            <c:idx val="3"/>
            <c:invertIfNegative val="0"/>
            <c:bubble3D val="0"/>
            <c:spPr>
              <a:solidFill>
                <a:schemeClr val="bg1">
                  <a:lumMod val="75000"/>
                </a:schemeClr>
              </a:solidFill>
              <a:ln>
                <a:noFill/>
              </a:ln>
              <a:effectLst/>
            </c:spPr>
            <c:extLst xmlns:c16r2="http://schemas.microsoft.com/office/drawing/2015/06/chart">
              <c:ext xmlns:c16="http://schemas.microsoft.com/office/drawing/2014/chart" uri="{C3380CC4-5D6E-409C-BE32-E72D297353CC}">
                <c16:uniqueId val="{00000003-3987-4446-87A5-6434FCD9D54A}"/>
              </c:ext>
            </c:extLst>
          </c:dPt>
          <c:dPt>
            <c:idx val="4"/>
            <c:invertIfNegative val="0"/>
            <c:bubble3D val="0"/>
            <c:spPr>
              <a:solidFill>
                <a:schemeClr val="bg1">
                  <a:lumMod val="85000"/>
                </a:schemeClr>
              </a:solidFill>
              <a:ln>
                <a:noFill/>
              </a:ln>
              <a:effectLst/>
            </c:spPr>
            <c:extLst xmlns:c16r2="http://schemas.microsoft.com/office/drawing/2015/06/chart">
              <c:ext xmlns:c16="http://schemas.microsoft.com/office/drawing/2014/chart" uri="{C3380CC4-5D6E-409C-BE32-E72D297353CC}">
                <c16:uniqueId val="{00000002-3987-4446-87A5-6434FCD9D54A}"/>
              </c:ext>
            </c:extLst>
          </c:dPt>
          <c:dPt>
            <c:idx val="5"/>
            <c:invertIfNegative val="0"/>
            <c:bubble3D val="0"/>
            <c:spPr>
              <a:solidFill>
                <a:schemeClr val="bg1">
                  <a:lumMod val="95000"/>
                </a:schemeClr>
              </a:solidFill>
              <a:ln>
                <a:noFill/>
              </a:ln>
              <a:effectLst/>
            </c:spPr>
            <c:extLst xmlns:c16r2="http://schemas.microsoft.com/office/drawing/2015/06/chart">
              <c:ext xmlns:c16="http://schemas.microsoft.com/office/drawing/2014/chart" uri="{C3380CC4-5D6E-409C-BE32-E72D297353CC}">
                <c16:uniqueId val="{00000001-3987-4446-87A5-6434FCD9D54A}"/>
              </c:ext>
            </c:extLst>
          </c:dPt>
          <c:dLbls>
            <c:dLbl>
              <c:idx val="0"/>
              <c:layout/>
              <c:tx>
                <c:rich>
                  <a:bodyPr/>
                  <a:lstStyle/>
                  <a:p>
                    <a:fld id="{1AAB62E4-5097-488E-8A2D-4F98C9CEC7D8}" type="VALUE">
                      <a:rPr lang="en-US">
                        <a:solidFill>
                          <a:schemeClr val="bg1"/>
                        </a:solidFill>
                      </a:rPr>
                      <a:pPr/>
                      <a:t>[VALUE]</a:t>
                    </a:fld>
                    <a:endParaRPr lang="lv-LV"/>
                  </a:p>
                </c:rich>
              </c:tx>
              <c:dLblPos val="ctr"/>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dLbl>
            <c:dLbl>
              <c:idx val="3"/>
              <c:layout/>
              <c:tx>
                <c:rich>
                  <a:bodyPr/>
                  <a:lstStyle/>
                  <a:p>
                    <a:r>
                      <a:rPr lang="en-US"/>
                      <a:t>288</a:t>
                    </a:r>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Sheet1!$A$151:$A$156</c:f>
              <c:strCache>
                <c:ptCount val="6"/>
                <c:pt idx="0">
                  <c:v>pasažieris</c:v>
                </c:pt>
                <c:pt idx="1">
                  <c:v>nodarbinātais</c:v>
                </c:pt>
                <c:pt idx="2">
                  <c:v>pārbrauktuves lietotājs</c:v>
                </c:pt>
                <c:pt idx="3">
                  <c:v>noteikumu pārkāpējs</c:v>
                </c:pt>
                <c:pt idx="4">
                  <c:v>cita persona ārpus platformas</c:v>
                </c:pt>
                <c:pt idx="5">
                  <c:v>cita persona uz platformas</c:v>
                </c:pt>
              </c:strCache>
            </c:strRef>
          </c:cat>
          <c:val>
            <c:numRef>
              <c:f>Sheet1!$B$151:$B$156</c:f>
              <c:numCache>
                <c:formatCode>General</c:formatCode>
                <c:ptCount val="6"/>
                <c:pt idx="0">
                  <c:v>16</c:v>
                </c:pt>
                <c:pt idx="1">
                  <c:v>27</c:v>
                </c:pt>
                <c:pt idx="2">
                  <c:v>164</c:v>
                </c:pt>
                <c:pt idx="3">
                  <c:v>287</c:v>
                </c:pt>
                <c:pt idx="4">
                  <c:v>40</c:v>
                </c:pt>
                <c:pt idx="5">
                  <c:v>49</c:v>
                </c:pt>
              </c:numCache>
            </c:numRef>
          </c:val>
          <c:extLst xmlns:c16r2="http://schemas.microsoft.com/office/drawing/2015/06/chart">
            <c:ext xmlns:c16="http://schemas.microsoft.com/office/drawing/2014/chart" uri="{C3380CC4-5D6E-409C-BE32-E72D297353CC}">
              <c16:uniqueId val="{00000000-3987-4446-87A5-6434FCD9D54A}"/>
            </c:ext>
          </c:extLst>
        </c:ser>
        <c:dLbls>
          <c:showLegendKey val="0"/>
          <c:showVal val="0"/>
          <c:showCatName val="0"/>
          <c:showSerName val="0"/>
          <c:showPercent val="0"/>
          <c:showBubbleSize val="0"/>
        </c:dLbls>
        <c:gapWidth val="22"/>
        <c:overlap val="-70"/>
        <c:axId val="1400337984"/>
        <c:axId val="1400340704"/>
      </c:barChart>
      <c:catAx>
        <c:axId val="1400337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400340704"/>
        <c:crosses val="autoZero"/>
        <c:auto val="1"/>
        <c:lblAlgn val="ctr"/>
        <c:lblOffset val="100"/>
        <c:noMultiLvlLbl val="0"/>
      </c:catAx>
      <c:valAx>
        <c:axId val="1400340704"/>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37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7.attēls. Dzelzceļa satiksmes drošības pārkāpumu</a:t>
            </a:r>
            <a:r>
              <a:rPr lang="lv-LV" sz="1050" b="1" baseline="0">
                <a:solidFill>
                  <a:sysClr val="windowText" lastClr="000000"/>
                </a:solidFill>
              </a:rPr>
              <a:t> tendence (2005-2019)</a:t>
            </a:r>
            <a:endParaRPr lang="lv-LV" sz="1050" b="1">
              <a:solidFill>
                <a:sysClr val="windowText" lastClr="000000"/>
              </a:solidFill>
            </a:endParaRPr>
          </a:p>
        </c:rich>
      </c:tx>
      <c:layout>
        <c:manualLayout>
          <c:xMode val="edge"/>
          <c:yMode val="edge"/>
          <c:x val="0.44856169255307926"/>
          <c:y val="0.90277777777777779"/>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4.8230347148557881E-2"/>
          <c:y val="2.8194444444444459E-2"/>
          <c:w val="0.94372298267127397"/>
          <c:h val="0.72088764946048411"/>
        </c:manualLayout>
      </c:layout>
      <c:lineChart>
        <c:grouping val="standard"/>
        <c:varyColors val="0"/>
        <c:ser>
          <c:idx val="0"/>
          <c:order val="0"/>
          <c:tx>
            <c:strRef>
              <c:f>Sheet1!$B$217</c:f>
              <c:strCache>
                <c:ptCount val="1"/>
                <c:pt idx="0">
                  <c:v>Dzelzceļa satiksmes drošības pārkāpumi</c:v>
                </c:pt>
              </c:strCache>
            </c:strRef>
          </c:tx>
          <c:spPr>
            <a:ln w="28575" cap="rnd">
              <a:solidFill>
                <a:srgbClr val="C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log"/>
            <c:dispRSqr val="0"/>
            <c:dispEq val="0"/>
          </c:trendline>
          <c:cat>
            <c:numRef>
              <c:f>Sheet1!$D$210:$R$210</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Sheet1!$D$217:$R$217</c:f>
              <c:numCache>
                <c:formatCode>General</c:formatCode>
                <c:ptCount val="15"/>
                <c:pt idx="0">
                  <c:v>29</c:v>
                </c:pt>
                <c:pt idx="1">
                  <c:v>16</c:v>
                </c:pt>
                <c:pt idx="2">
                  <c:v>18</c:v>
                </c:pt>
                <c:pt idx="3">
                  <c:v>14</c:v>
                </c:pt>
                <c:pt idx="4">
                  <c:v>20</c:v>
                </c:pt>
                <c:pt idx="5">
                  <c:v>14</c:v>
                </c:pt>
                <c:pt idx="6">
                  <c:v>13</c:v>
                </c:pt>
                <c:pt idx="7">
                  <c:v>17</c:v>
                </c:pt>
                <c:pt idx="8">
                  <c:v>12</c:v>
                </c:pt>
                <c:pt idx="9">
                  <c:v>10</c:v>
                </c:pt>
                <c:pt idx="10">
                  <c:v>7</c:v>
                </c:pt>
                <c:pt idx="11">
                  <c:v>4</c:v>
                </c:pt>
                <c:pt idx="12">
                  <c:v>6</c:v>
                </c:pt>
                <c:pt idx="13">
                  <c:v>4</c:v>
                </c:pt>
                <c:pt idx="14">
                  <c:v>5</c:v>
                </c:pt>
              </c:numCache>
            </c:numRef>
          </c:val>
          <c:smooth val="1"/>
        </c:ser>
        <c:dLbls>
          <c:showLegendKey val="0"/>
          <c:showVal val="0"/>
          <c:showCatName val="0"/>
          <c:showSerName val="0"/>
          <c:showPercent val="0"/>
          <c:showBubbleSize val="0"/>
        </c:dLbls>
        <c:smooth val="0"/>
        <c:axId val="1400351040"/>
        <c:axId val="1400347232"/>
      </c:lineChart>
      <c:catAx>
        <c:axId val="140035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7232"/>
        <c:crosses val="autoZero"/>
        <c:auto val="1"/>
        <c:lblAlgn val="ctr"/>
        <c:lblOffset val="100"/>
        <c:noMultiLvlLbl val="0"/>
      </c:catAx>
      <c:valAx>
        <c:axId val="1400347232"/>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510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8.attēls. Dzelzceļa satiksmes drosības</a:t>
            </a:r>
            <a:r>
              <a:rPr lang="lv-LV" sz="1000" b="1" baseline="0">
                <a:solidFill>
                  <a:sysClr val="windowText" lastClr="000000"/>
                </a:solidFill>
              </a:rPr>
              <a:t> pārkāpumi sadalījumā pa veidiem (2004-2019)</a:t>
            </a:r>
            <a:endParaRPr lang="lv-LV" sz="1000" b="1">
              <a:solidFill>
                <a:sysClr val="windowText" lastClr="000000"/>
              </a:solidFill>
            </a:endParaRPr>
          </a:p>
        </c:rich>
      </c:tx>
      <c:layout>
        <c:manualLayout>
          <c:xMode val="edge"/>
          <c:yMode val="edge"/>
          <c:x val="0.58310347948480279"/>
          <c:y val="0.87962962962962965"/>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3625607560053804"/>
          <c:y val="4.2083333333333355E-2"/>
          <c:w val="0.61118478501721174"/>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dPt>
          <c:dPt>
            <c:idx val="1"/>
            <c:invertIfNegative val="0"/>
            <c:bubble3D val="0"/>
            <c:spPr>
              <a:solidFill>
                <a:schemeClr val="bg2">
                  <a:lumMod val="50000"/>
                </a:schemeClr>
              </a:solidFill>
              <a:ln>
                <a:noFill/>
              </a:ln>
              <a:effectLst/>
            </c:spPr>
          </c:dPt>
          <c:dPt>
            <c:idx val="2"/>
            <c:invertIfNegative val="0"/>
            <c:bubble3D val="0"/>
            <c:spPr>
              <a:solidFill>
                <a:schemeClr val="bg1">
                  <a:lumMod val="50000"/>
                </a:schemeClr>
              </a:solidFill>
              <a:ln>
                <a:noFill/>
              </a:ln>
              <a:effectLst/>
            </c:spPr>
          </c:dPt>
          <c:dPt>
            <c:idx val="3"/>
            <c:invertIfNegative val="0"/>
            <c:bubble3D val="0"/>
            <c:spPr>
              <a:solidFill>
                <a:schemeClr val="bg1">
                  <a:lumMod val="65000"/>
                </a:schemeClr>
              </a:solidFill>
              <a:ln>
                <a:noFill/>
              </a:ln>
              <a:effectLst/>
            </c:spPr>
          </c:dPt>
          <c:dPt>
            <c:idx val="4"/>
            <c:invertIfNegative val="0"/>
            <c:bubble3D val="0"/>
            <c:spPr>
              <a:solidFill>
                <a:schemeClr val="bg1">
                  <a:lumMod val="75000"/>
                </a:schemeClr>
              </a:solidFill>
              <a:ln>
                <a:noFill/>
              </a:ln>
              <a:effectLst/>
            </c:spPr>
          </c:dPt>
          <c:dPt>
            <c:idx val="5"/>
            <c:invertIfNegative val="0"/>
            <c:bubble3D val="0"/>
            <c:spPr>
              <a:solidFill>
                <a:schemeClr val="bg1">
                  <a:lumMod val="85000"/>
                </a:schemeClr>
              </a:solidFill>
              <a:ln>
                <a:noFill/>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Sheet1!$B$211:$B$216</c:f>
              <c:strCache>
                <c:ptCount val="6"/>
                <c:pt idx="0">
                  <c:v>Sliežu lūzumi</c:v>
                </c:pt>
                <c:pt idx="1">
                  <c:v>Sliežu ceļu ģeometrijas novirzes</c:v>
                </c:pt>
                <c:pt idx="2">
                  <c:v>Vairāk atļaujošas signāluguns ieslēgšanās aizliedzošās vietā</c:v>
                </c:pt>
                <c:pt idx="3">
                  <c:v>Pabraukšana garām aizliedzošajam signālam</c:v>
                </c:pt>
                <c:pt idx="4">
                  <c:v>Riteņu ass bojājumi vai  lūzumi</c:v>
                </c:pt>
                <c:pt idx="5">
                  <c:v>Ass lūzumi</c:v>
                </c:pt>
              </c:strCache>
            </c:strRef>
          </c:cat>
          <c:val>
            <c:numRef>
              <c:f>Sheet1!$S$211:$S$216</c:f>
              <c:numCache>
                <c:formatCode>General</c:formatCode>
                <c:ptCount val="6"/>
                <c:pt idx="0">
                  <c:v>73</c:v>
                </c:pt>
                <c:pt idx="1">
                  <c:v>34</c:v>
                </c:pt>
                <c:pt idx="2">
                  <c:v>5</c:v>
                </c:pt>
                <c:pt idx="3">
                  <c:v>57</c:v>
                </c:pt>
                <c:pt idx="4">
                  <c:v>31</c:v>
                </c:pt>
                <c:pt idx="5">
                  <c:v>4</c:v>
                </c:pt>
              </c:numCache>
            </c:numRef>
          </c:val>
        </c:ser>
        <c:dLbls>
          <c:showLegendKey val="0"/>
          <c:showVal val="0"/>
          <c:showCatName val="0"/>
          <c:showSerName val="0"/>
          <c:showPercent val="0"/>
          <c:showBubbleSize val="0"/>
        </c:dLbls>
        <c:gapWidth val="30"/>
        <c:axId val="1400346144"/>
        <c:axId val="1400338528"/>
      </c:barChart>
      <c:catAx>
        <c:axId val="1400346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400338528"/>
        <c:crosses val="autoZero"/>
        <c:auto val="1"/>
        <c:lblAlgn val="ctr"/>
        <c:lblOffset val="100"/>
        <c:noMultiLvlLbl val="0"/>
      </c:catAx>
      <c:valAx>
        <c:axId val="1400338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61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9.attēls. Nodrošināto pārbaužu skaits (tai skaitā auditi) </a:t>
            </a:r>
          </a:p>
          <a:p>
            <a:pPr algn="r">
              <a:defRPr/>
            </a:pPr>
            <a:r>
              <a:rPr lang="lv-LV" sz="1050" b="1">
                <a:solidFill>
                  <a:sysClr val="windowText" lastClr="000000"/>
                </a:solidFill>
              </a:rPr>
              <a:t>(2004-2019)</a:t>
            </a:r>
            <a:endParaRPr lang="en-US" sz="1050" b="1">
              <a:solidFill>
                <a:sysClr val="windowText" lastClr="000000"/>
              </a:solidFill>
            </a:endParaRPr>
          </a:p>
        </c:rich>
      </c:tx>
      <c:layout>
        <c:manualLayout>
          <c:xMode val="edge"/>
          <c:yMode val="edge"/>
          <c:x val="0.4799304461942257"/>
          <c:y val="0.90277777777777779"/>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36920384951881E-2"/>
          <c:y val="3.2824074074074089E-2"/>
          <c:w val="0.89575240594925631"/>
          <c:h val="0.72088764946048411"/>
        </c:manualLayout>
      </c:layout>
      <c:barChart>
        <c:barDir val="col"/>
        <c:grouping val="clustered"/>
        <c:varyColors val="0"/>
        <c:ser>
          <c:idx val="0"/>
          <c:order val="0"/>
          <c:tx>
            <c:strRef>
              <c:f>Parbaudes!$A$3</c:f>
              <c:strCache>
                <c:ptCount val="1"/>
                <c:pt idx="0">
                  <c:v>Nodrošinātas pārbaudes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C00000"/>
                </a:solidFill>
                <a:prstDash val="sysDot"/>
              </a:ln>
              <a:effectLst/>
            </c:spPr>
            <c:trendlineType val="log"/>
            <c:dispRSqr val="0"/>
            <c:dispEq val="0"/>
          </c:trendline>
          <c:cat>
            <c:numRef>
              <c:f>Parbaudes!$B$2:$Q$2</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Parbaudes!$B$3:$Q$3</c:f>
              <c:numCache>
                <c:formatCode>General</c:formatCode>
                <c:ptCount val="16"/>
                <c:pt idx="0">
                  <c:v>149</c:v>
                </c:pt>
                <c:pt idx="1">
                  <c:v>118</c:v>
                </c:pt>
                <c:pt idx="2">
                  <c:v>131</c:v>
                </c:pt>
                <c:pt idx="3">
                  <c:v>120</c:v>
                </c:pt>
                <c:pt idx="4">
                  <c:v>181</c:v>
                </c:pt>
                <c:pt idx="5">
                  <c:v>107</c:v>
                </c:pt>
                <c:pt idx="6">
                  <c:v>108</c:v>
                </c:pt>
                <c:pt idx="7">
                  <c:v>121</c:v>
                </c:pt>
                <c:pt idx="8">
                  <c:v>94</c:v>
                </c:pt>
                <c:pt idx="9">
                  <c:v>176</c:v>
                </c:pt>
                <c:pt idx="10">
                  <c:v>192</c:v>
                </c:pt>
                <c:pt idx="11">
                  <c:v>200</c:v>
                </c:pt>
                <c:pt idx="12">
                  <c:v>161</c:v>
                </c:pt>
                <c:pt idx="13">
                  <c:v>124</c:v>
                </c:pt>
                <c:pt idx="14">
                  <c:v>154</c:v>
                </c:pt>
                <c:pt idx="15">
                  <c:v>136</c:v>
                </c:pt>
              </c:numCache>
            </c:numRef>
          </c:val>
          <c:extLst xmlns:c16r2="http://schemas.microsoft.com/office/drawing/2015/06/chart">
            <c:ext xmlns:c16="http://schemas.microsoft.com/office/drawing/2014/chart" uri="{C3380CC4-5D6E-409C-BE32-E72D297353CC}">
              <c16:uniqueId val="{00000001-724D-48E9-B50B-65B82C1D62F9}"/>
            </c:ext>
          </c:extLst>
        </c:ser>
        <c:dLbls>
          <c:showLegendKey val="0"/>
          <c:showVal val="0"/>
          <c:showCatName val="0"/>
          <c:showSerName val="0"/>
          <c:showPercent val="0"/>
          <c:showBubbleSize val="0"/>
        </c:dLbls>
        <c:gapWidth val="15"/>
        <c:overlap val="-27"/>
        <c:axId val="1400348320"/>
        <c:axId val="1400348864"/>
      </c:barChart>
      <c:catAx>
        <c:axId val="140034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8864"/>
        <c:crosses val="autoZero"/>
        <c:auto val="1"/>
        <c:lblAlgn val="ctr"/>
        <c:lblOffset val="100"/>
        <c:noMultiLvlLbl val="0"/>
      </c:catAx>
      <c:valAx>
        <c:axId val="1400348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8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A222-C7E9-4FC0-A373-B7D24543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22</Pages>
  <Words>33912</Words>
  <Characters>19331</Characters>
  <Application>Microsoft Office Word</Application>
  <DocSecurity>0</DocSecurity>
  <Lines>161</Lines>
  <Paragraphs>106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Darbības pārskats                                                    2019.gads</vt:lpstr>
      <vt:lpstr>Darbības pārskats                                                    2019.gads</vt:lpstr>
    </vt:vector>
  </TitlesOfParts>
  <Company/>
  <LinksUpToDate>false</LinksUpToDate>
  <CharactersWithSpaces>53137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Darbības pārskats                                                    2019.gads</dc:title>
  <dc:subject/>
  <dc:creator>Linda Gailīte</dc:creator>
  <cp:keywords/>
  <dc:description/>
  <cp:lastModifiedBy>Linda Gailīte</cp:lastModifiedBy>
  <cp:revision>65</cp:revision>
  <dcterms:created xsi:type="dcterms:W3CDTF">2020-09-02T11:43:00Z</dcterms:created>
  <dcterms:modified xsi:type="dcterms:W3CDTF">2020-09-30T08:36:00Z</dcterms:modified>
</cp:coreProperties>
</file>