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45" w:rsidRPr="00B86A45" w:rsidRDefault="00B86A45" w:rsidP="00B86A45">
      <w:pPr>
        <w:jc w:val="both"/>
      </w:pPr>
      <w:r>
        <w:rPr>
          <w:b/>
          <w:bCs/>
        </w:rPr>
        <w:t>Publiskās lietošanas dzelzceļa infrastruktūras pārvaldītājam</w:t>
      </w:r>
      <w:bookmarkStart w:id="0" w:name="_GoBack"/>
      <w:bookmarkEnd w:id="0"/>
      <w:r w:rsidRPr="00B86A45">
        <w:t> teorētiskā eksāmena zināšanu pārbaudes apjoms: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
        <w:gridCol w:w="5666"/>
        <w:gridCol w:w="1811"/>
      </w:tblGrid>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rPr>
                <w:b/>
                <w:bCs/>
              </w:rPr>
              <w:t xml:space="preserve">Nr. </w:t>
            </w:r>
            <w:proofErr w:type="spellStart"/>
            <w:r w:rsidRPr="00B86A45">
              <w:rPr>
                <w:b/>
                <w:bCs/>
              </w:rPr>
              <w:t>p.k</w:t>
            </w:r>
            <w:proofErr w:type="spellEnd"/>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rPr>
                <w:b/>
                <w:bCs/>
              </w:rPr>
              <w:t>Jautājumu grupas</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rPr>
                <w:b/>
                <w:bCs/>
              </w:rPr>
              <w:t>Jautājumu skaits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 Ministru kabineta 2010.gada 3.augusta noteikumu Nr.724 „</w:t>
            </w:r>
            <w:hyperlink r:id="rId4" w:history="1">
              <w:r w:rsidRPr="00B86A45">
                <w:rPr>
                  <w:rStyle w:val="Hyperlink"/>
                  <w:i/>
                  <w:iCs/>
                </w:rPr>
                <w:t>Dzelzceļa tehniskās ekspluatācijas noteikumi</w:t>
              </w:r>
            </w:hyperlink>
            <w:r w:rsidRPr="00B86A45">
              <w:t>"  (turpmāk TEN) 3.4.nodaļa „Luksofori"</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2.</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TEN 3.7.nodaļa „Vilcienu, vilces līdzekļu un citu ritošo sastāvu apzīmēšana"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3.</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TEN 4.3.nodaļa „Elektroapgāde"</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4.</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TEN 8.3.nodaļa „Bremžu lietošana"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5.</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TEN 8.5.nodaļa „Vilciena sastāvs"</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6.</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„Dzelzceļa satiksmes organizācija normālos (darba) apstākļos"</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7.</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„Dzelzceļa satiksmes vadība un vilcienu kustības organizācija</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8.</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 xml:space="preserve">jautājumu grupa „Rokas signāli, </w:t>
            </w:r>
            <w:proofErr w:type="spellStart"/>
            <w:r w:rsidRPr="00B86A45">
              <w:t>signālrādītāji</w:t>
            </w:r>
            <w:proofErr w:type="spellEnd"/>
            <w:r w:rsidRPr="00B86A45">
              <w:t xml:space="preserve"> un </w:t>
            </w:r>
            <w:proofErr w:type="spellStart"/>
            <w:r w:rsidRPr="00B86A45">
              <w:t>signālzīmes</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9.</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„Infrastruktūra un tās uzturēšana"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10.</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„Dzelzceļa satiksme un manevri"</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11.</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„Dzelzceļa satiksme infrastruktūras bojājumu gadījumā"</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12.</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„Dzirdes un redzes signāli"</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13.</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„Ritošais sastāvs"</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14.</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„Sakari, stacijas un pieturas punkti"</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jc w:val="center"/>
            </w:pPr>
            <w:r w:rsidRPr="00B86A45">
              <w:t>15.</w:t>
            </w:r>
          </w:p>
        </w:tc>
        <w:tc>
          <w:tcPr>
            <w:tcW w:w="607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ind w:left="155"/>
            </w:pPr>
            <w:r w:rsidRPr="00B86A45">
              <w:t>jautājumu grupa „Vilciena sastāvs, tā nosūtīšana un pieņemšana stacijā"</w:t>
            </w:r>
          </w:p>
        </w:tc>
        <w:tc>
          <w:tcPr>
            <w:tcW w:w="1905" w:type="dxa"/>
            <w:tcBorders>
              <w:top w:val="outset" w:sz="6" w:space="0" w:color="auto"/>
              <w:left w:val="outset" w:sz="6" w:space="0" w:color="auto"/>
              <w:bottom w:val="outset" w:sz="6" w:space="0" w:color="auto"/>
              <w:right w:val="outset" w:sz="6" w:space="0" w:color="auto"/>
            </w:tcBorders>
            <w:vAlign w:val="center"/>
            <w:hideMark/>
          </w:tcPr>
          <w:p w:rsidR="00B86A45" w:rsidRPr="00B86A45" w:rsidRDefault="00B86A45" w:rsidP="00B86A45">
            <w:pPr>
              <w:spacing w:after="0" w:line="240" w:lineRule="auto"/>
            </w:pPr>
            <w:r w:rsidRPr="00B86A45">
              <w:t>viens jautājums</w:t>
            </w:r>
          </w:p>
        </w:tc>
      </w:tr>
      <w:tr w:rsidR="00B86A45" w:rsidRPr="00B86A45" w:rsidTr="003956E7">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86A45" w:rsidRPr="00B86A45" w:rsidRDefault="00B86A45" w:rsidP="00B86A45">
            <w:pPr>
              <w:spacing w:after="0" w:line="240" w:lineRule="auto"/>
            </w:pPr>
          </w:p>
        </w:tc>
        <w:tc>
          <w:tcPr>
            <w:tcW w:w="6075" w:type="dxa"/>
            <w:tcBorders>
              <w:top w:val="outset" w:sz="6" w:space="0" w:color="auto"/>
              <w:left w:val="outset" w:sz="6" w:space="0" w:color="auto"/>
              <w:bottom w:val="outset" w:sz="6" w:space="0" w:color="auto"/>
              <w:right w:val="outset" w:sz="6" w:space="0" w:color="auto"/>
            </w:tcBorders>
            <w:hideMark/>
          </w:tcPr>
          <w:p w:rsidR="00B86A45" w:rsidRPr="00B86A45" w:rsidRDefault="00B86A45" w:rsidP="00B86A45">
            <w:pPr>
              <w:spacing w:after="0" w:line="240" w:lineRule="auto"/>
              <w:jc w:val="right"/>
            </w:pPr>
            <w:r w:rsidRPr="00B86A45">
              <w:rPr>
                <w:b/>
                <w:bCs/>
              </w:rPr>
              <w:t>Kopā jautājumi</w:t>
            </w:r>
          </w:p>
        </w:tc>
        <w:tc>
          <w:tcPr>
            <w:tcW w:w="1905" w:type="dxa"/>
            <w:tcBorders>
              <w:top w:val="outset" w:sz="6" w:space="0" w:color="auto"/>
              <w:left w:val="outset" w:sz="6" w:space="0" w:color="auto"/>
              <w:bottom w:val="outset" w:sz="6" w:space="0" w:color="auto"/>
              <w:right w:val="outset" w:sz="6" w:space="0" w:color="auto"/>
            </w:tcBorders>
            <w:hideMark/>
          </w:tcPr>
          <w:p w:rsidR="00B86A45" w:rsidRPr="00B86A45" w:rsidRDefault="00B86A45" w:rsidP="00B86A45">
            <w:pPr>
              <w:spacing w:after="0" w:line="240" w:lineRule="auto"/>
              <w:jc w:val="right"/>
            </w:pPr>
            <w:r w:rsidRPr="00B86A45">
              <w:rPr>
                <w:b/>
                <w:bCs/>
              </w:rPr>
              <w:t>15</w:t>
            </w:r>
          </w:p>
        </w:tc>
      </w:tr>
    </w:tbl>
    <w:p w:rsidR="005D2C46" w:rsidRDefault="005D2C46"/>
    <w:p w:rsidR="00B86A45" w:rsidRPr="00B86A45" w:rsidRDefault="00B86A45" w:rsidP="00B86A45">
      <w:pPr>
        <w:jc w:val="both"/>
      </w:pPr>
      <w:r w:rsidRPr="00B86A45">
        <w:t>Jautājumu grupas eksaminācijas programmnodrošinājumā ietver:</w:t>
      </w:r>
    </w:p>
    <w:p w:rsidR="00B86A45" w:rsidRPr="00B86A45" w:rsidRDefault="00B86A45" w:rsidP="00B86A45">
      <w:pPr>
        <w:jc w:val="both"/>
      </w:pPr>
      <w:r w:rsidRPr="00B86A45">
        <w:t>1. „</w:t>
      </w:r>
      <w:r w:rsidRPr="00B86A45">
        <w:rPr>
          <w:b/>
          <w:bCs/>
        </w:rPr>
        <w:t>Dzelzceļa satiksmes organizācija normālos (darba) apstākļos"</w:t>
      </w:r>
      <w:r w:rsidRPr="00B86A45">
        <w:t xml:space="preserve"> apvienoti jautājumi no Ministru kabineta 2010.gada 3.augusta noteikumu Nr.724 „Dzelzceļa tehniskās ekspluatācijas noteikumi" 8.7.nodaļas „Dzelzceļa satiksmes organizācija, lietojot telefona sakarus", 8.8.nodaļas „Dzelzceļa satiksmes organizācija ar </w:t>
      </w:r>
      <w:proofErr w:type="spellStart"/>
      <w:r w:rsidRPr="00B86A45">
        <w:t>elektrozižļu</w:t>
      </w:r>
      <w:proofErr w:type="spellEnd"/>
      <w:r w:rsidRPr="00B86A45">
        <w:t xml:space="preserve"> sistēmu", 8.9.nodaļas „Dzelzceļa satiksmes organizācija ar pusautomātiskās bloķēšanas sistēmu aprīkotos iecirkņos", 8.10.nodaļas „Dzelzceļa satiksmes organizācija ar automātisko bloķēšanu aprīkotos iecirkņos" un 8.11.nodaļas „Dzelzceļa satiksmes organizācija ar </w:t>
      </w:r>
      <w:proofErr w:type="spellStart"/>
      <w:r w:rsidRPr="00B86A45">
        <w:t>dispečercentralizācju</w:t>
      </w:r>
      <w:proofErr w:type="spellEnd"/>
      <w:r w:rsidRPr="00B86A45">
        <w:t xml:space="preserve"> aprīkotā iecirknī";</w:t>
      </w:r>
    </w:p>
    <w:p w:rsidR="00B86A45" w:rsidRPr="00B86A45" w:rsidRDefault="00B86A45" w:rsidP="00B86A45">
      <w:pPr>
        <w:jc w:val="both"/>
      </w:pPr>
      <w:r w:rsidRPr="00B86A45">
        <w:t>2. </w:t>
      </w:r>
      <w:r w:rsidRPr="00B86A45">
        <w:rPr>
          <w:b/>
          <w:bCs/>
        </w:rPr>
        <w:t>„Dzelzceļa satiksmes vadība un vilcienu kustības organizācija"</w:t>
      </w:r>
      <w:r w:rsidRPr="00B86A45">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B86A45" w:rsidRPr="00B86A45" w:rsidRDefault="00B86A45" w:rsidP="00B86A45">
      <w:pPr>
        <w:jc w:val="both"/>
      </w:pPr>
      <w:r w:rsidRPr="00B86A45">
        <w:t>3. „</w:t>
      </w:r>
      <w:r w:rsidRPr="00B86A45">
        <w:rPr>
          <w:b/>
          <w:bCs/>
        </w:rPr>
        <w:t xml:space="preserve">Rokas signāli, </w:t>
      </w:r>
      <w:proofErr w:type="spellStart"/>
      <w:r w:rsidRPr="00B86A45">
        <w:rPr>
          <w:b/>
          <w:bCs/>
        </w:rPr>
        <w:t>signālrādītāji</w:t>
      </w:r>
      <w:proofErr w:type="spellEnd"/>
      <w:r w:rsidRPr="00B86A45">
        <w:rPr>
          <w:b/>
          <w:bCs/>
        </w:rPr>
        <w:t xml:space="preserve"> un </w:t>
      </w:r>
      <w:proofErr w:type="spellStart"/>
      <w:r w:rsidRPr="00B86A45">
        <w:rPr>
          <w:b/>
          <w:bCs/>
        </w:rPr>
        <w:t>signālzīmes</w:t>
      </w:r>
      <w:proofErr w:type="spellEnd"/>
      <w:r w:rsidRPr="00B86A45">
        <w:t xml:space="preserve">" apvienoti jautājumi no Ministru kabineta 2010.gada 3.augusta noteikumu Nr.724 „Dzelzceļa tehniskās ekspluatācijas noteikumi" 3.5.nodaļas „Rokas signāli" un 3.6.nodaļas </w:t>
      </w:r>
      <w:proofErr w:type="spellStart"/>
      <w:r w:rsidRPr="00B86A45">
        <w:t>Signālrādītāji</w:t>
      </w:r>
      <w:proofErr w:type="spellEnd"/>
      <w:r w:rsidRPr="00B86A45">
        <w:t xml:space="preserve"> un </w:t>
      </w:r>
      <w:proofErr w:type="spellStart"/>
      <w:r w:rsidRPr="00B86A45">
        <w:t>signālzīmes</w:t>
      </w:r>
      <w:proofErr w:type="spellEnd"/>
      <w:r w:rsidRPr="00B86A45">
        <w:t>";</w:t>
      </w:r>
    </w:p>
    <w:p w:rsidR="00B86A45" w:rsidRPr="00B86A45" w:rsidRDefault="00B86A45" w:rsidP="00B86A45">
      <w:pPr>
        <w:jc w:val="both"/>
      </w:pPr>
      <w:r w:rsidRPr="00B86A45">
        <w:lastRenderedPageBreak/>
        <w:t>4. </w:t>
      </w:r>
      <w:r w:rsidRPr="00B86A45">
        <w:rPr>
          <w:b/>
          <w:bCs/>
        </w:rPr>
        <w:t>„Infrastruktūra un tās uzturēšana"</w:t>
      </w:r>
      <w:r w:rsidRPr="00B86A45">
        <w:t> apvienoti jautājumi no Ministru kabineta 2010.gada 3.augusta noteikumu Nr.724 „Dzelzceļa tehniskās ekspluatācijas noteikumi" 2.1.nodaļas „Vispārīgās prasības", 2.2.punkts „</w:t>
      </w:r>
      <w:proofErr w:type="spellStart"/>
      <w:r w:rsidRPr="00B86A45">
        <w:t>Platsliežu</w:t>
      </w:r>
      <w:proofErr w:type="spellEnd"/>
      <w:r w:rsidRPr="00B86A45">
        <w:t xml:space="preserve"> ceļš" un 6.nodaļas „Tehniskā aprīkojuma uzturēšana";</w:t>
      </w:r>
    </w:p>
    <w:p w:rsidR="00B86A45" w:rsidRPr="00B86A45" w:rsidRDefault="00B86A45" w:rsidP="00B86A45">
      <w:pPr>
        <w:jc w:val="both"/>
      </w:pPr>
      <w:r w:rsidRPr="00B86A45">
        <w:t>5. </w:t>
      </w:r>
      <w:r w:rsidRPr="00B86A45">
        <w:rPr>
          <w:b/>
          <w:bCs/>
        </w:rPr>
        <w:t>„Dzelzceļa satiksme un manevri</w:t>
      </w:r>
      <w:r w:rsidRPr="00B86A45">
        <w:t>" apvienoti jautājumi no Ministru kabineta 2010.gada 3.augusta noteikumu Nr.724 „Dzelzceļa tehniskās ekspluatācijas noteikumi" 8.1.nodaļas „Vispārīgās prasības" un 8.15.nodaļas „Manevri";</w:t>
      </w:r>
    </w:p>
    <w:p w:rsidR="00B86A45" w:rsidRPr="00B86A45" w:rsidRDefault="00B86A45" w:rsidP="00B86A45">
      <w:pPr>
        <w:jc w:val="both"/>
      </w:pPr>
      <w:r w:rsidRPr="00B86A45">
        <w:t>6. „</w:t>
      </w:r>
      <w:r w:rsidRPr="00B86A45">
        <w:rPr>
          <w:b/>
          <w:bCs/>
        </w:rPr>
        <w:t>Dzelzceļa satiksme infrastruktūras bojājumu gadījumā</w:t>
      </w:r>
      <w:r w:rsidRPr="00B86A45">
        <w:t xml:space="preserve">", kurā apvienoti jautājumi no Ministru kabineta 2010.gada 3.augusta noteikumu Nr.724 „Dzelzceļa tehniskās ekspluatācijas noteikumi" 3.8.nodaļas „Norobežojuma signālierīču izvietojuma kārtība", 8.14.nodaļas „Sliežu </w:t>
      </w:r>
      <w:proofErr w:type="spellStart"/>
      <w:r w:rsidRPr="00B86A45">
        <w:t>motortransporta</w:t>
      </w:r>
      <w:proofErr w:type="spellEnd"/>
      <w:r w:rsidRPr="00B86A45">
        <w:t xml:space="preserve"> satiksme" un 8.17.nodaļas „Dzelzceļa satiksmes organizācija dzelzceļa infrastruktūras bojājuma gadījumā";</w:t>
      </w:r>
    </w:p>
    <w:p w:rsidR="00B86A45" w:rsidRPr="00B86A45" w:rsidRDefault="00B86A45" w:rsidP="00B86A45">
      <w:pPr>
        <w:jc w:val="both"/>
      </w:pPr>
      <w:r w:rsidRPr="00B86A45">
        <w:t>7. „</w:t>
      </w:r>
      <w:r w:rsidRPr="00B86A45">
        <w:rPr>
          <w:b/>
          <w:bCs/>
        </w:rPr>
        <w:t>Dzirdes un redzes signāli</w:t>
      </w:r>
      <w:r w:rsidRPr="00B86A45">
        <w:t>" apvienoti jautājumi no Ministru kabineta 2010.gada 3.augusta noteikumu Nr.724 „Dzelzceļa tehniskās ekspluatācijas noteikumi" 3.2.nodaļas „Redzes signāli" un 3.3.nodaļas „Dzirdes signāli";</w:t>
      </w:r>
    </w:p>
    <w:p w:rsidR="00B86A45" w:rsidRPr="00B86A45" w:rsidRDefault="00B86A45" w:rsidP="00B86A45">
      <w:pPr>
        <w:jc w:val="both"/>
      </w:pPr>
      <w:r w:rsidRPr="00B86A45">
        <w:t>8. „</w:t>
      </w:r>
      <w:r w:rsidRPr="00B86A45">
        <w:rPr>
          <w:b/>
          <w:bCs/>
        </w:rPr>
        <w:t>Ritošais sastāvs</w:t>
      </w:r>
      <w:r w:rsidRPr="00B86A45">
        <w:t>" apvienoti jautājumi no Ministru kabineta 2010.gada 3.augusta Noteikumu Nr.724 „Dzelzceļa tehniskās ekspluatācijas noteikumi" 7.1.nodaļas „Vispārīgās prasības" un 7.2.nodaļas „Riteņi";</w:t>
      </w:r>
    </w:p>
    <w:p w:rsidR="00B86A45" w:rsidRPr="00B86A45" w:rsidRDefault="00B86A45" w:rsidP="00B86A45">
      <w:pPr>
        <w:jc w:val="both"/>
      </w:pPr>
      <w:r w:rsidRPr="00B86A45">
        <w:t>9. „</w:t>
      </w:r>
      <w:r w:rsidRPr="00B86A45">
        <w:rPr>
          <w:b/>
          <w:bCs/>
        </w:rPr>
        <w:t>Sakari, stacijas un pieturas punkti</w:t>
      </w:r>
      <w:r w:rsidRPr="00B86A45">
        <w:t>" apvienoti jautājumi no Ministru kabineta 2010.gada 3.augusta noteikumu Nr.724 „Dzelzceļa tehniskās ekspluatācijas noteikumi" 4.2.nodaļas „Sakari" un 5.nodaļas „Stacija un pieturas punkts";</w:t>
      </w:r>
    </w:p>
    <w:p w:rsidR="00B86A45" w:rsidRPr="00B86A45" w:rsidRDefault="00B86A45" w:rsidP="00B86A45">
      <w:pPr>
        <w:jc w:val="both"/>
      </w:pPr>
      <w:r w:rsidRPr="00B86A45">
        <w:t>10. „</w:t>
      </w:r>
      <w:r w:rsidRPr="00B86A45">
        <w:rPr>
          <w:b/>
          <w:bCs/>
        </w:rPr>
        <w:t>Vilciena sastāvs, tā nosūtīšana un pieņemšana stacijā</w:t>
      </w:r>
      <w:r w:rsidRPr="00B86A45">
        <w:t>" apvienoti jautājumi no Ministru kabineta 2010.gada 3.augusta noteikumu Nr.724 „Dzelzceļa tehniskās ekspluatācijas noteikumi" 8.6.nodaļas „Vilcienu kustības organizēšana" un 8.12.nodaļas „Vilcienu nosūtīšana un pieņemšana stacijā".</w:t>
      </w:r>
    </w:p>
    <w:p w:rsidR="00B86A45" w:rsidRDefault="00B86A45"/>
    <w:sectPr w:rsidR="00B86A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5"/>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7843"/>
    <w:rsid w:val="00040DA7"/>
    <w:rsid w:val="00041E51"/>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86A45"/>
    <w:rsid w:val="00B9020D"/>
    <w:rsid w:val="00B91E70"/>
    <w:rsid w:val="00B92793"/>
    <w:rsid w:val="00B930C7"/>
    <w:rsid w:val="00B9489A"/>
    <w:rsid w:val="00B95E10"/>
    <w:rsid w:val="00BA1A14"/>
    <w:rsid w:val="00BA334F"/>
    <w:rsid w:val="00BA63B5"/>
    <w:rsid w:val="00BA6BBF"/>
    <w:rsid w:val="00BB1CF4"/>
    <w:rsid w:val="00BB39D9"/>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A276E-00EC-4841-A17D-B4B0200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2968</Words>
  <Characters>1692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1</cp:revision>
  <dcterms:created xsi:type="dcterms:W3CDTF">2021-08-05T11:33:00Z</dcterms:created>
  <dcterms:modified xsi:type="dcterms:W3CDTF">2021-08-05T11:37:00Z</dcterms:modified>
</cp:coreProperties>
</file>