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1C769" w14:textId="114D0685" w:rsidR="006B787B" w:rsidRDefault="00020D1E" w:rsidP="00F8728C">
      <w:pPr>
        <w:pStyle w:val="Virsraksts1"/>
        <w:rPr>
          <w:rFonts w:ascii="Times New Roman" w:hAnsi="Times New Roman" w:cs="Times New Roman"/>
          <w:sz w:val="36"/>
          <w:szCs w:val="36"/>
        </w:rPr>
      </w:pPr>
      <w:r>
        <w:rPr>
          <w:noProof/>
        </w:rPr>
        <w:drawing>
          <wp:anchor distT="0" distB="0" distL="114300" distR="114300" simplePos="0" relativeHeight="251665408" behindDoc="1" locked="0" layoutInCell="1" allowOverlap="1" wp14:anchorId="2D775C44" wp14:editId="52FFE8AB">
            <wp:simplePos x="0" y="0"/>
            <wp:positionH relativeFrom="margin">
              <wp:align>right</wp:align>
            </wp:positionH>
            <wp:positionV relativeFrom="page">
              <wp:posOffset>800100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p>
    <w:p w14:paraId="55FE7DA6" w14:textId="77777777" w:rsidR="00C14062" w:rsidRPr="00264004" w:rsidRDefault="00C14062" w:rsidP="00C14062"/>
    <w:p w14:paraId="1F2733DB" w14:textId="77777777" w:rsidR="00C14062" w:rsidRDefault="00C14062" w:rsidP="00C14062">
      <w:pPr>
        <w:pStyle w:val="Galvene"/>
      </w:pPr>
    </w:p>
    <w:p w14:paraId="3DFD1746" w14:textId="77777777" w:rsidR="00C14062" w:rsidRDefault="00C14062" w:rsidP="00C14062">
      <w:pPr>
        <w:pStyle w:val="Galvene"/>
      </w:pPr>
    </w:p>
    <w:p w14:paraId="3172B38B" w14:textId="77777777" w:rsidR="00C14062" w:rsidRDefault="00C14062" w:rsidP="00C14062">
      <w:pPr>
        <w:pStyle w:val="Galvene"/>
      </w:pPr>
    </w:p>
    <w:p w14:paraId="185EB08B" w14:textId="77777777" w:rsidR="00C14062" w:rsidRDefault="00C14062" w:rsidP="00C14062">
      <w:pPr>
        <w:pStyle w:val="Galvene"/>
      </w:pPr>
    </w:p>
    <w:p w14:paraId="03A77E32" w14:textId="6D65F991" w:rsidR="00C14062" w:rsidRDefault="00020D1E" w:rsidP="00C14062">
      <w:pPr>
        <w:pStyle w:val="Galvene"/>
      </w:pPr>
      <w:r>
        <w:rPr>
          <w:noProof/>
        </w:rPr>
        <mc:AlternateContent>
          <mc:Choice Requires="wps">
            <w:drawing>
              <wp:anchor distT="0" distB="0" distL="114300" distR="114300" simplePos="0" relativeHeight="251667456" behindDoc="1" locked="0" layoutInCell="1" allowOverlap="1" wp14:anchorId="4F557592" wp14:editId="7097FAE5">
                <wp:simplePos x="0" y="0"/>
                <wp:positionH relativeFrom="page">
                  <wp:posOffset>1063625</wp:posOffset>
                </wp:positionH>
                <wp:positionV relativeFrom="page">
                  <wp:posOffset>2011680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A453B" w14:textId="77777777" w:rsidR="00C14062" w:rsidRDefault="00C14062" w:rsidP="00C14062">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pasts vdzti@vdzti.gov.lv,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57592" id="_x0000_t202" coordsize="21600,21600" o:spt="202" path="m,l,21600r21600,l21600,xe">
                <v:stroke joinstyle="miter"/>
                <v:path gradientshapeok="t" o:connecttype="rect"/>
              </v:shapetype>
              <v:shape id="Text Box 43" o:spid="_x0000_s1026" type="#_x0000_t202" style="position:absolute;margin-left:83.75pt;margin-top:158.4pt;width:459.75pt;height:24.7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" filled="f" stroked="f">
                <v:textbox inset="0,0,0,0">
                  <w:txbxContent>
                    <w:p w14:paraId="7BBA453B" w14:textId="77777777" w:rsidR="00C14062" w:rsidRDefault="00C14062" w:rsidP="00C14062">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pasts vdzti@vdzti.gov.lv, www.vdzti.gov.lv</w:t>
                      </w:r>
                    </w:p>
                  </w:txbxContent>
                </v:textbox>
                <w10:wrap anchorx="page" anchory="page"/>
              </v:shape>
            </w:pict>
          </mc:Fallback>
        </mc:AlternateContent>
      </w:r>
    </w:p>
    <w:p w14:paraId="4BA0F265" w14:textId="77777777" w:rsidR="00C14062" w:rsidRDefault="00C14062" w:rsidP="00C14062">
      <w:pPr>
        <w:pStyle w:val="Galvene"/>
      </w:pPr>
    </w:p>
    <w:p w14:paraId="787FE94D" w14:textId="77777777" w:rsidR="00C14062" w:rsidRDefault="00C14062" w:rsidP="00C14062">
      <w:pPr>
        <w:pStyle w:val="Galvene"/>
      </w:pPr>
    </w:p>
    <w:p w14:paraId="5538E398" w14:textId="665C2B28" w:rsidR="00C4538B" w:rsidRPr="00C14062" w:rsidRDefault="00C14062" w:rsidP="00087618">
      <w:pPr>
        <w:pStyle w:val="Galvene"/>
        <w:jc w:val="center"/>
        <w:rPr>
          <w:b/>
          <w:bCs/>
          <w:sz w:val="28"/>
          <w:szCs w:val="28"/>
        </w:rPr>
      </w:pPr>
      <w:r>
        <w:rPr>
          <w:noProof/>
        </w:rPr>
        <mc:AlternateContent>
          <mc:Choice Requires="wpg">
            <w:drawing>
              <wp:anchor distT="0" distB="0" distL="114300" distR="114300" simplePos="0" relativeHeight="251666432" behindDoc="1" locked="0" layoutInCell="1" allowOverlap="1" wp14:anchorId="4B0476DC" wp14:editId="0550A43A">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6"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635A80" id="Group 41" o:spid="_x0000_s1026" style="position:absolute;margin-left:145.7pt;margin-top:149.85pt;width:346.25pt;height:.1pt;z-index:-251650048;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00C4538B" w:rsidRPr="00C14062">
        <w:rPr>
          <w:b/>
          <w:bCs/>
          <w:sz w:val="28"/>
          <w:szCs w:val="28"/>
        </w:rPr>
        <w:t>Drošības pasākumu plāns uz</w:t>
      </w:r>
    </w:p>
    <w:p w14:paraId="720B601F" w14:textId="10DBA440" w:rsidR="00C4538B" w:rsidRPr="00C4538B" w:rsidRDefault="00C4538B" w:rsidP="00C4538B">
      <w:pPr>
        <w:spacing w:after="0" w:line="240" w:lineRule="auto"/>
        <w:jc w:val="center"/>
        <w:rPr>
          <w:rFonts w:ascii="Times New Roman" w:hAnsi="Times New Roman" w:cs="Times New Roman"/>
          <w:b/>
          <w:bCs/>
          <w:sz w:val="36"/>
          <w:szCs w:val="36"/>
        </w:rPr>
      </w:pPr>
      <w:r w:rsidRPr="00C14062">
        <w:rPr>
          <w:rFonts w:ascii="Times New Roman" w:hAnsi="Times New Roman" w:cs="Times New Roman"/>
          <w:b/>
          <w:bCs/>
          <w:sz w:val="28"/>
          <w:szCs w:val="28"/>
        </w:rPr>
        <w:t>dzelzceļa cietušo personu skaita samazināšanai</w:t>
      </w:r>
    </w:p>
    <w:p w14:paraId="7A9346E2" w14:textId="77777777" w:rsidR="00161766" w:rsidRDefault="00161766">
      <w:pPr>
        <w:rPr>
          <w:rFonts w:ascii="Times New Roman" w:hAnsi="Times New Roman" w:cs="Times New Roman"/>
          <w:sz w:val="24"/>
          <w:szCs w:val="24"/>
        </w:rPr>
      </w:pPr>
    </w:p>
    <w:p w14:paraId="201EB49E" w14:textId="337D4860" w:rsidR="00C4538B" w:rsidRDefault="00161766">
      <w:pPr>
        <w:rPr>
          <w:rFonts w:ascii="Times New Roman" w:hAnsi="Times New Roman" w:cs="Times New Roman"/>
          <w:sz w:val="24"/>
          <w:szCs w:val="24"/>
        </w:rPr>
      </w:pPr>
      <w:r>
        <w:rPr>
          <w:rFonts w:ascii="Times New Roman" w:hAnsi="Times New Roman" w:cs="Times New Roman"/>
          <w:sz w:val="24"/>
          <w:szCs w:val="24"/>
        </w:rPr>
        <w:t>26.01.2021.</w:t>
      </w:r>
    </w:p>
    <w:p w14:paraId="063E4EC6" w14:textId="21C93605" w:rsidR="005973C0" w:rsidRDefault="00C4538B" w:rsidP="00C4538B">
      <w:pPr>
        <w:pStyle w:val="Sarakstarindkopa"/>
        <w:numPr>
          <w:ilvl w:val="0"/>
          <w:numId w:val="4"/>
        </w:numPr>
        <w:rPr>
          <w:b/>
          <w:bCs/>
        </w:rPr>
      </w:pPr>
      <w:r w:rsidRPr="00C4538B">
        <w:rPr>
          <w:b/>
          <w:bCs/>
        </w:rPr>
        <w:t>Situācijas izklāsts</w:t>
      </w:r>
    </w:p>
    <w:p w14:paraId="3F2A2419" w14:textId="77777777" w:rsidR="00C4538B" w:rsidRPr="00C4538B" w:rsidRDefault="00C4538B" w:rsidP="00C4538B">
      <w:pPr>
        <w:pStyle w:val="Sarakstarindkopa"/>
        <w:rPr>
          <w:b/>
          <w:bCs/>
        </w:rPr>
      </w:pPr>
    </w:p>
    <w:p w14:paraId="32278868" w14:textId="6370F716" w:rsidR="003360B6" w:rsidRDefault="005973C0" w:rsidP="005973C0">
      <w:pPr>
        <w:spacing w:after="240" w:line="240" w:lineRule="auto"/>
        <w:ind w:firstLine="720"/>
        <w:jc w:val="both"/>
        <w:rPr>
          <w:rFonts w:ascii="Times New Roman" w:hAnsi="Times New Roman" w:cs="Times New Roman"/>
          <w:bCs/>
          <w:sz w:val="24"/>
          <w:szCs w:val="24"/>
        </w:rPr>
      </w:pPr>
      <w:r w:rsidRPr="00C4538B">
        <w:rPr>
          <w:rFonts w:ascii="Times New Roman" w:hAnsi="Times New Roman" w:cs="Times New Roman"/>
          <w:bCs/>
          <w:sz w:val="24"/>
          <w:szCs w:val="24"/>
        </w:rPr>
        <w:t>Dzelzceļa transportā kopējais mērķis ir augsta drošības līmeņa uzturēšana sistēmā. Lai to nodrošinātu ir jāveicina droši pārvadājumi un jānodrošina pilnīga, kvalitatīva un droša informācija par kustības drošības stāvokli  komercsabiedrībās.</w:t>
      </w:r>
    </w:p>
    <w:p w14:paraId="7FC3ED7E" w14:textId="33BF7F43" w:rsidR="00247533" w:rsidRDefault="00244E99" w:rsidP="005973C0">
      <w:pPr>
        <w:spacing w:after="240" w:line="240" w:lineRule="auto"/>
        <w:ind w:firstLine="720"/>
        <w:jc w:val="both"/>
        <w:rPr>
          <w:rFonts w:ascii="Times New Roman" w:hAnsi="Times New Roman" w:cs="Times New Roman"/>
          <w:bCs/>
          <w:sz w:val="24"/>
          <w:szCs w:val="24"/>
        </w:rPr>
      </w:pPr>
      <w:r w:rsidRPr="006006BD">
        <w:rPr>
          <w:noProof/>
          <w:lang w:eastAsia="lv-LV"/>
        </w:rPr>
        <w:drawing>
          <wp:anchor distT="0" distB="0" distL="114300" distR="114300" simplePos="0" relativeHeight="251663360" behindDoc="1" locked="0" layoutInCell="1" allowOverlap="1" wp14:anchorId="6189A264" wp14:editId="130064C1">
            <wp:simplePos x="0" y="0"/>
            <wp:positionH relativeFrom="margin">
              <wp:align>right</wp:align>
            </wp:positionH>
            <wp:positionV relativeFrom="paragraph">
              <wp:posOffset>1076960</wp:posOffset>
            </wp:positionV>
            <wp:extent cx="6120130" cy="2370455"/>
            <wp:effectExtent l="0" t="0" r="13970" b="10795"/>
            <wp:wrapTight wrapText="bothSides">
              <wp:wrapPolygon edited="0">
                <wp:start x="0" y="0"/>
                <wp:lineTo x="0" y="21525"/>
                <wp:lineTo x="21582" y="21525"/>
                <wp:lineTo x="21582" y="0"/>
                <wp:lineTo x="0" y="0"/>
              </wp:wrapPolygon>
            </wp:wrapTight>
            <wp:docPr id="2" name="Diagramma 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Pr="00244E99">
        <w:rPr>
          <w:rFonts w:ascii="Times New Roman" w:hAnsi="Times New Roman" w:cs="Times New Roman"/>
          <w:bCs/>
          <w:sz w:val="24"/>
          <w:szCs w:val="24"/>
        </w:rPr>
        <w:t xml:space="preserve">Dati norāda, ka pēdējo desmit gadu laikā Latvijā nopietnie dzelzceļa satiksmes negadījumi ir būtiski samazinājušies.  </w:t>
      </w:r>
      <w:r w:rsidR="00247533">
        <w:rPr>
          <w:rFonts w:ascii="Times New Roman" w:hAnsi="Times New Roman" w:cs="Times New Roman"/>
          <w:bCs/>
          <w:sz w:val="24"/>
          <w:szCs w:val="24"/>
        </w:rPr>
        <w:t xml:space="preserve">Nopietno negadījumu skaitam (vilciena sadursme, vilciena nobraukšana no sliedēm, </w:t>
      </w:r>
      <w:r w:rsidR="00247533" w:rsidRPr="00247533">
        <w:rPr>
          <w:rFonts w:ascii="Times New Roman" w:hAnsi="Times New Roman" w:cs="Times New Roman"/>
          <w:bCs/>
          <w:sz w:val="24"/>
          <w:szCs w:val="24"/>
        </w:rPr>
        <w:t>negadījums uz dzelzceļa pārbrauktuves vai pārejas</w:t>
      </w:r>
      <w:r w:rsidR="00247533">
        <w:rPr>
          <w:rFonts w:ascii="Times New Roman" w:hAnsi="Times New Roman" w:cs="Times New Roman"/>
          <w:bCs/>
          <w:sz w:val="24"/>
          <w:szCs w:val="24"/>
        </w:rPr>
        <w:t>,</w:t>
      </w:r>
      <w:r w:rsidR="00247533" w:rsidRPr="00247533">
        <w:t xml:space="preserve"> </w:t>
      </w:r>
      <w:r w:rsidR="00247533">
        <w:t>n</w:t>
      </w:r>
      <w:r w:rsidR="00247533" w:rsidRPr="00247533">
        <w:rPr>
          <w:rFonts w:ascii="Times New Roman" w:hAnsi="Times New Roman" w:cs="Times New Roman"/>
          <w:bCs/>
          <w:sz w:val="24"/>
          <w:szCs w:val="24"/>
        </w:rPr>
        <w:t>egadījums ar personu, kurā iesaistīts kustībā esošs ritošais sastāvs</w:t>
      </w:r>
      <w:r w:rsidR="00247533">
        <w:rPr>
          <w:rFonts w:ascii="Times New Roman" w:hAnsi="Times New Roman" w:cs="Times New Roman"/>
          <w:bCs/>
          <w:sz w:val="24"/>
          <w:szCs w:val="24"/>
        </w:rPr>
        <w:t xml:space="preserve">, ugunsgrēks un citi negadījumi)  </w:t>
      </w:r>
      <w:r>
        <w:rPr>
          <w:rFonts w:ascii="Times New Roman" w:hAnsi="Times New Roman" w:cs="Times New Roman"/>
          <w:bCs/>
          <w:sz w:val="24"/>
          <w:szCs w:val="24"/>
        </w:rPr>
        <w:t xml:space="preserve">no 2004.gada </w:t>
      </w:r>
      <w:r w:rsidR="00247533">
        <w:rPr>
          <w:rFonts w:ascii="Times New Roman" w:hAnsi="Times New Roman" w:cs="Times New Roman"/>
          <w:bCs/>
          <w:sz w:val="24"/>
          <w:szCs w:val="24"/>
        </w:rPr>
        <w:t xml:space="preserve">ir tendence samazināties. </w:t>
      </w:r>
      <w:r w:rsidR="00F8728C" w:rsidRPr="00244E99">
        <w:rPr>
          <w:rFonts w:ascii="Times New Roman" w:hAnsi="Times New Roman" w:cs="Times New Roman"/>
          <w:bCs/>
          <w:sz w:val="24"/>
          <w:szCs w:val="24"/>
        </w:rPr>
        <w:t xml:space="preserve">Taču Latvijā joprojām ir ievērojami liels cietušo personu skaits.  </w:t>
      </w:r>
    </w:p>
    <w:p w14:paraId="67B3AB00" w14:textId="27BDE97E" w:rsidR="005048E2" w:rsidRDefault="003360B6" w:rsidP="00244E99">
      <w:pPr>
        <w:spacing w:before="360" w:after="240" w:line="240" w:lineRule="auto"/>
        <w:ind w:firstLine="720"/>
        <w:jc w:val="both"/>
        <w:rPr>
          <w:rFonts w:ascii="Times New Roman" w:hAnsi="Times New Roman" w:cs="Times New Roman"/>
          <w:bCs/>
          <w:sz w:val="24"/>
          <w:szCs w:val="24"/>
        </w:rPr>
      </w:pPr>
      <w:r w:rsidRPr="00C4538B">
        <w:rPr>
          <w:rFonts w:ascii="Times New Roman" w:hAnsi="Times New Roman" w:cs="Times New Roman"/>
          <w:bCs/>
          <w:sz w:val="24"/>
          <w:szCs w:val="24"/>
        </w:rPr>
        <w:t xml:space="preserve">No nopietnu negadījumu kopskaita vēl joprojām lielāko negadījumu īpatsvaru (vidēji 77,42%) veido </w:t>
      </w:r>
      <w:r w:rsidR="000672AA">
        <w:rPr>
          <w:rFonts w:ascii="Times New Roman" w:hAnsi="Times New Roman" w:cs="Times New Roman"/>
          <w:bCs/>
          <w:sz w:val="24"/>
          <w:szCs w:val="24"/>
        </w:rPr>
        <w:t>“N</w:t>
      </w:r>
      <w:r w:rsidRPr="00C4538B">
        <w:rPr>
          <w:rFonts w:ascii="Times New Roman" w:hAnsi="Times New Roman" w:cs="Times New Roman"/>
          <w:bCs/>
          <w:sz w:val="24"/>
          <w:szCs w:val="24"/>
        </w:rPr>
        <w:t xml:space="preserve">egadījumi ar </w:t>
      </w:r>
      <w:r w:rsidR="000672AA">
        <w:rPr>
          <w:rFonts w:ascii="Times New Roman" w:hAnsi="Times New Roman" w:cs="Times New Roman"/>
          <w:bCs/>
          <w:sz w:val="24"/>
          <w:szCs w:val="24"/>
        </w:rPr>
        <w:t xml:space="preserve">personu, </w:t>
      </w:r>
      <w:r w:rsidR="000672AA" w:rsidRPr="000672AA">
        <w:rPr>
          <w:rFonts w:ascii="Times New Roman" w:hAnsi="Times New Roman" w:cs="Times New Roman"/>
          <w:bCs/>
          <w:sz w:val="24"/>
          <w:szCs w:val="24"/>
        </w:rPr>
        <w:t>kurā iesaistīts kustībā esošs ritošais sastāvs</w:t>
      </w:r>
      <w:r w:rsidR="000672AA">
        <w:rPr>
          <w:rFonts w:ascii="Times New Roman" w:hAnsi="Times New Roman" w:cs="Times New Roman"/>
          <w:bCs/>
          <w:sz w:val="24"/>
          <w:szCs w:val="24"/>
        </w:rPr>
        <w:t>”</w:t>
      </w:r>
      <w:r w:rsidRPr="00C4538B">
        <w:rPr>
          <w:rFonts w:ascii="Times New Roman" w:hAnsi="Times New Roman" w:cs="Times New Roman"/>
          <w:bCs/>
          <w:sz w:val="24"/>
          <w:szCs w:val="24"/>
        </w:rPr>
        <w:t>. Otrs lielākais īpatsvars ir negadījumiem  kategorijā “Negadījum</w:t>
      </w:r>
      <w:r w:rsidR="009B33FA">
        <w:rPr>
          <w:rFonts w:ascii="Times New Roman" w:hAnsi="Times New Roman" w:cs="Times New Roman"/>
          <w:bCs/>
          <w:sz w:val="24"/>
          <w:szCs w:val="24"/>
        </w:rPr>
        <w:t>s</w:t>
      </w:r>
      <w:r w:rsidRPr="00C4538B">
        <w:rPr>
          <w:rFonts w:ascii="Times New Roman" w:hAnsi="Times New Roman" w:cs="Times New Roman"/>
          <w:bCs/>
          <w:sz w:val="24"/>
          <w:szCs w:val="24"/>
        </w:rPr>
        <w:t xml:space="preserve"> uz dzelzceļa pārbrauktuv</w:t>
      </w:r>
      <w:r w:rsidR="009B33FA">
        <w:rPr>
          <w:rFonts w:ascii="Times New Roman" w:hAnsi="Times New Roman" w:cs="Times New Roman"/>
          <w:bCs/>
          <w:sz w:val="24"/>
          <w:szCs w:val="24"/>
        </w:rPr>
        <w:t>es vai pārejas</w:t>
      </w:r>
      <w:r w:rsidRPr="00C4538B">
        <w:rPr>
          <w:rFonts w:ascii="Times New Roman" w:hAnsi="Times New Roman" w:cs="Times New Roman"/>
          <w:bCs/>
          <w:sz w:val="24"/>
          <w:szCs w:val="24"/>
        </w:rPr>
        <w:t xml:space="preserve">”. Šajos negadījumos  lielāko īpatsvaru (88,98%) veido nevis sadursmes </w:t>
      </w:r>
      <w:r w:rsidR="00F8728C">
        <w:rPr>
          <w:rFonts w:ascii="Times New Roman" w:hAnsi="Times New Roman" w:cs="Times New Roman"/>
          <w:bCs/>
          <w:sz w:val="24"/>
          <w:szCs w:val="24"/>
        </w:rPr>
        <w:t>ar</w:t>
      </w:r>
      <w:r w:rsidRPr="00C4538B">
        <w:rPr>
          <w:rFonts w:ascii="Times New Roman" w:hAnsi="Times New Roman" w:cs="Times New Roman"/>
          <w:bCs/>
          <w:sz w:val="24"/>
          <w:szCs w:val="24"/>
        </w:rPr>
        <w:t xml:space="preserve"> autotransportu, bet gan gadījumi ar person</w:t>
      </w:r>
      <w:r w:rsidR="000672AA">
        <w:rPr>
          <w:rFonts w:ascii="Times New Roman" w:hAnsi="Times New Roman" w:cs="Times New Roman"/>
          <w:bCs/>
          <w:sz w:val="24"/>
          <w:szCs w:val="24"/>
        </w:rPr>
        <w:t>ām</w:t>
      </w:r>
      <w:r w:rsidRPr="00C4538B">
        <w:rPr>
          <w:rFonts w:ascii="Times New Roman" w:hAnsi="Times New Roman" w:cs="Times New Roman"/>
          <w:bCs/>
          <w:sz w:val="24"/>
          <w:szCs w:val="24"/>
        </w:rPr>
        <w:t>, kad tā</w:t>
      </w:r>
      <w:r w:rsidR="000672AA">
        <w:rPr>
          <w:rFonts w:ascii="Times New Roman" w:hAnsi="Times New Roman" w:cs="Times New Roman"/>
          <w:bCs/>
          <w:sz w:val="24"/>
          <w:szCs w:val="24"/>
        </w:rPr>
        <w:t>s</w:t>
      </w:r>
      <w:r w:rsidRPr="00C4538B">
        <w:rPr>
          <w:rFonts w:ascii="Times New Roman" w:hAnsi="Times New Roman" w:cs="Times New Roman"/>
          <w:bCs/>
          <w:sz w:val="24"/>
          <w:szCs w:val="24"/>
        </w:rPr>
        <w:t xml:space="preserve"> ir šķērsoju</w:t>
      </w:r>
      <w:r w:rsidR="000672AA">
        <w:rPr>
          <w:rFonts w:ascii="Times New Roman" w:hAnsi="Times New Roman" w:cs="Times New Roman"/>
          <w:bCs/>
          <w:sz w:val="24"/>
          <w:szCs w:val="24"/>
        </w:rPr>
        <w:t>šas</w:t>
      </w:r>
      <w:r w:rsidRPr="00C4538B">
        <w:rPr>
          <w:rFonts w:ascii="Times New Roman" w:hAnsi="Times New Roman" w:cs="Times New Roman"/>
          <w:bCs/>
          <w:sz w:val="24"/>
          <w:szCs w:val="24"/>
        </w:rPr>
        <w:t xml:space="preserve"> dzelzceļa pārbrauktuvi neievērojot drošības prasības. Salīdzinoši mazs īpatsvars ir t.s. “tiešiem dzelzceļa satiksmes negadījumiem” </w:t>
      </w:r>
      <w:r w:rsidR="005048E2">
        <w:rPr>
          <w:rFonts w:ascii="Times New Roman" w:hAnsi="Times New Roman" w:cs="Times New Roman"/>
          <w:bCs/>
          <w:sz w:val="24"/>
          <w:szCs w:val="24"/>
        </w:rPr>
        <w:t>–</w:t>
      </w:r>
      <w:r w:rsidRPr="00C4538B">
        <w:rPr>
          <w:rFonts w:ascii="Times New Roman" w:hAnsi="Times New Roman" w:cs="Times New Roman"/>
          <w:bCs/>
          <w:sz w:val="24"/>
          <w:szCs w:val="24"/>
        </w:rPr>
        <w:t xml:space="preserve"> </w:t>
      </w:r>
      <w:r w:rsidR="005048E2">
        <w:rPr>
          <w:rFonts w:ascii="Times New Roman" w:hAnsi="Times New Roman" w:cs="Times New Roman"/>
          <w:bCs/>
          <w:sz w:val="24"/>
          <w:szCs w:val="24"/>
        </w:rPr>
        <w:t>vilcienu sadursme</w:t>
      </w:r>
      <w:r w:rsidRPr="00C4538B">
        <w:rPr>
          <w:rFonts w:ascii="Times New Roman" w:hAnsi="Times New Roman" w:cs="Times New Roman"/>
          <w:bCs/>
          <w:sz w:val="24"/>
          <w:szCs w:val="24"/>
        </w:rPr>
        <w:t xml:space="preserve">, </w:t>
      </w:r>
      <w:r w:rsidR="005048E2">
        <w:rPr>
          <w:rFonts w:ascii="Times New Roman" w:hAnsi="Times New Roman" w:cs="Times New Roman"/>
          <w:bCs/>
          <w:sz w:val="24"/>
          <w:szCs w:val="24"/>
        </w:rPr>
        <w:t xml:space="preserve">vilciena </w:t>
      </w:r>
      <w:r w:rsidRPr="00C4538B">
        <w:rPr>
          <w:rFonts w:ascii="Times New Roman" w:hAnsi="Times New Roman" w:cs="Times New Roman"/>
          <w:bCs/>
          <w:sz w:val="24"/>
          <w:szCs w:val="24"/>
        </w:rPr>
        <w:t>nobraukšana no sliedēm un ugunsgrēki</w:t>
      </w:r>
      <w:r w:rsidR="005048E2">
        <w:rPr>
          <w:rFonts w:ascii="Times New Roman" w:hAnsi="Times New Roman" w:cs="Times New Roman"/>
          <w:bCs/>
          <w:sz w:val="24"/>
          <w:szCs w:val="24"/>
        </w:rPr>
        <w:t xml:space="preserve"> </w:t>
      </w:r>
      <w:proofErr w:type="spellStart"/>
      <w:r w:rsidR="005048E2">
        <w:rPr>
          <w:rFonts w:ascii="Times New Roman" w:hAnsi="Times New Roman" w:cs="Times New Roman"/>
          <w:bCs/>
          <w:sz w:val="24"/>
          <w:szCs w:val="24"/>
        </w:rPr>
        <w:t>riteklī</w:t>
      </w:r>
      <w:proofErr w:type="spellEnd"/>
      <w:r w:rsidR="005048E2">
        <w:rPr>
          <w:rFonts w:ascii="Times New Roman" w:hAnsi="Times New Roman" w:cs="Times New Roman"/>
          <w:bCs/>
          <w:sz w:val="24"/>
          <w:szCs w:val="24"/>
        </w:rPr>
        <w:t>.</w:t>
      </w:r>
    </w:p>
    <w:p w14:paraId="04CF8E5C" w14:textId="49E0C1E5" w:rsidR="00327C81" w:rsidRDefault="00327C81" w:rsidP="00625ED9">
      <w:pPr>
        <w:spacing w:before="120" w:after="120" w:line="240" w:lineRule="auto"/>
        <w:ind w:firstLine="720"/>
        <w:jc w:val="both"/>
        <w:rPr>
          <w:rFonts w:ascii="Times New Roman" w:hAnsi="Times New Roman" w:cs="Times New Roman"/>
          <w:sz w:val="24"/>
          <w:szCs w:val="24"/>
        </w:rPr>
      </w:pPr>
      <w:r w:rsidRPr="00C4538B">
        <w:rPr>
          <w:rFonts w:ascii="Times New Roman" w:hAnsi="Times New Roman" w:cs="Times New Roman"/>
          <w:sz w:val="24"/>
          <w:szCs w:val="24"/>
        </w:rPr>
        <w:lastRenderedPageBreak/>
        <w:t xml:space="preserve">Sadalījumā pa cietušo personu kategorijām (2004.-2019.gads), lielākais īpatsvars ir nepiederošām personām  jeb noteikumu pārkāpējiem atrodoties paaugstinātas bīstamības zonā un pārbrauktuvju lietotājiem. Ievērojamu daļu veido arī to cietušo personu kategorijas, kas nav ievērojušas drošības prasības atrodoties uz peroniem/platformām. Augstākie riski pastāv pārbrauktuves lietotājiem un personām, kas atrodas uz peroniem un šķērso sliežu ceļus neatļautās vietās, it īpaši atrodoties alkohola reibuma stāvoklī. </w:t>
      </w:r>
    </w:p>
    <w:p w14:paraId="29950BC8" w14:textId="4FD0C65D" w:rsidR="00327C81" w:rsidRPr="00C4538B" w:rsidRDefault="00175142" w:rsidP="00327C81">
      <w:pPr>
        <w:spacing w:after="120" w:line="240" w:lineRule="auto"/>
        <w:ind w:firstLine="720"/>
        <w:jc w:val="both"/>
        <w:rPr>
          <w:rFonts w:ascii="Times New Roman" w:hAnsi="Times New Roman" w:cs="Times New Roman"/>
          <w:sz w:val="24"/>
          <w:szCs w:val="24"/>
        </w:rPr>
      </w:pPr>
      <w:r w:rsidRPr="00C4538B">
        <w:rPr>
          <w:rFonts w:ascii="Times New Roman" w:hAnsi="Times New Roman" w:cs="Times New Roman"/>
          <w:noProof/>
          <w:sz w:val="24"/>
          <w:szCs w:val="24"/>
          <w:lang w:eastAsia="lv-LV"/>
        </w:rPr>
        <w:drawing>
          <wp:anchor distT="0" distB="0" distL="114300" distR="114300" simplePos="0" relativeHeight="251669504" behindDoc="0" locked="0" layoutInCell="1" allowOverlap="1" wp14:anchorId="570E7AFE" wp14:editId="616EFE4A">
            <wp:simplePos x="0" y="0"/>
            <wp:positionH relativeFrom="margin">
              <wp:align>right</wp:align>
            </wp:positionH>
            <wp:positionV relativeFrom="paragraph">
              <wp:posOffset>646430</wp:posOffset>
            </wp:positionV>
            <wp:extent cx="6096000" cy="2400300"/>
            <wp:effectExtent l="0" t="0" r="0" b="0"/>
            <wp:wrapSquare wrapText="bothSides"/>
            <wp:docPr id="7" name="Chart 7">
              <a:extLst xmlns:a="http://schemas.openxmlformats.org/drawingml/2006/main">
                <a:ext uri="{FF2B5EF4-FFF2-40B4-BE49-F238E27FC236}">
                  <a16:creationId xmlns:a16="http://schemas.microsoft.com/office/drawing/2014/main" id="{0F6FD7EF-B792-47C8-8FF5-050437709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327C81" w:rsidRPr="00C4538B">
        <w:rPr>
          <w:rFonts w:ascii="Times New Roman" w:hAnsi="Times New Roman" w:cs="Times New Roman"/>
          <w:sz w:val="24"/>
          <w:szCs w:val="24"/>
        </w:rPr>
        <w:t xml:space="preserve">Latvijā salīdzinoši liels īpatsvars ir cietušie kategorijā “citas personas”. Tas ir saistāms ar personu atrašanos uz sliedēm vai peroniem alkohola reibuma stāvoklī.  Pieaug arī tādi gadījumi, kad jaunieši pārgalvīgi pieķeras braucoša vilcienu sastāva </w:t>
      </w:r>
      <w:proofErr w:type="spellStart"/>
      <w:r w:rsidR="00327C81" w:rsidRPr="00C4538B">
        <w:rPr>
          <w:rFonts w:ascii="Times New Roman" w:hAnsi="Times New Roman" w:cs="Times New Roman"/>
          <w:sz w:val="24"/>
          <w:szCs w:val="24"/>
        </w:rPr>
        <w:t>autosakabēm</w:t>
      </w:r>
      <w:proofErr w:type="spellEnd"/>
      <w:r w:rsidR="00327C81" w:rsidRPr="00C4538B">
        <w:rPr>
          <w:rFonts w:ascii="Times New Roman" w:hAnsi="Times New Roman" w:cs="Times New Roman"/>
          <w:sz w:val="24"/>
          <w:szCs w:val="24"/>
        </w:rPr>
        <w:t xml:space="preserve"> vai rāpjas uz vagonu jumtiem.  </w:t>
      </w:r>
    </w:p>
    <w:p w14:paraId="03784DC5" w14:textId="2D82DEF3" w:rsidR="00175142" w:rsidRDefault="00175142" w:rsidP="00327C81">
      <w:pPr>
        <w:spacing w:after="0" w:line="240" w:lineRule="auto"/>
        <w:jc w:val="right"/>
        <w:rPr>
          <w:rFonts w:ascii="Times New Roman" w:hAnsi="Times New Roman" w:cs="Times New Roman"/>
          <w:b/>
          <w:sz w:val="24"/>
          <w:szCs w:val="24"/>
        </w:rPr>
      </w:pPr>
    </w:p>
    <w:p w14:paraId="0E42DDB5" w14:textId="671EF466" w:rsidR="005973C0" w:rsidRDefault="00175142" w:rsidP="00175142">
      <w:pPr>
        <w:spacing w:after="0" w:line="240" w:lineRule="auto"/>
        <w:ind w:firstLine="720"/>
        <w:jc w:val="both"/>
        <w:rPr>
          <w:rFonts w:ascii="Times New Roman" w:hAnsi="Times New Roman" w:cs="Times New Roman"/>
          <w:bCs/>
          <w:sz w:val="24"/>
          <w:szCs w:val="24"/>
        </w:rPr>
      </w:pPr>
      <w:r w:rsidRPr="00175142">
        <w:rPr>
          <w:rFonts w:ascii="Times New Roman" w:hAnsi="Times New Roman" w:cs="Times New Roman"/>
          <w:bCs/>
          <w:sz w:val="24"/>
          <w:szCs w:val="24"/>
        </w:rPr>
        <w:t>Izvērtējot riskus cietušo personu kategorijās ir secināms,</w:t>
      </w:r>
      <w:r>
        <w:rPr>
          <w:rFonts w:ascii="Times New Roman" w:hAnsi="Times New Roman" w:cs="Times New Roman"/>
          <w:bCs/>
          <w:sz w:val="24"/>
          <w:szCs w:val="24"/>
        </w:rPr>
        <w:t xml:space="preserve"> ka  p</w:t>
      </w:r>
      <w:r w:rsidR="003360B6" w:rsidRPr="00175142">
        <w:rPr>
          <w:rFonts w:ascii="Times New Roman" w:hAnsi="Times New Roman" w:cs="Times New Roman"/>
          <w:bCs/>
          <w:sz w:val="24"/>
          <w:szCs w:val="24"/>
        </w:rPr>
        <w:t xml:space="preserve">astāv riski cietušo kategorijā “Citas” personas. Riski ir saistāmi ar cietušo personu atrašanos alkohola reibuma stāvoklī uz peroniem un sliedēm. Kā otra augsta riska pakāpe ir kategorija “Nodarbinātie”. </w:t>
      </w:r>
    </w:p>
    <w:p w14:paraId="39C963C9" w14:textId="77777777" w:rsidR="00175142" w:rsidRPr="00175142" w:rsidRDefault="00175142" w:rsidP="00175142">
      <w:pPr>
        <w:spacing w:after="0" w:line="240" w:lineRule="auto"/>
        <w:ind w:firstLine="720"/>
        <w:jc w:val="both"/>
        <w:rPr>
          <w:rFonts w:ascii="Times New Roman" w:hAnsi="Times New Roman" w:cs="Times New Roman"/>
          <w:bCs/>
          <w:sz w:val="24"/>
          <w:szCs w:val="24"/>
        </w:rPr>
      </w:pPr>
    </w:p>
    <w:p w14:paraId="49B06F6F" w14:textId="77777777" w:rsidR="003360B6" w:rsidRPr="00E81424" w:rsidRDefault="003360B6" w:rsidP="003360B6">
      <w:pPr>
        <w:spacing w:after="0" w:line="240" w:lineRule="auto"/>
        <w:ind w:firstLine="720"/>
        <w:jc w:val="right"/>
        <w:rPr>
          <w:rFonts w:ascii="Times New Roman" w:hAnsi="Times New Roman" w:cs="Times New Roman"/>
          <w:b/>
        </w:rPr>
      </w:pPr>
      <w:r w:rsidRPr="00E81424">
        <w:rPr>
          <w:rFonts w:ascii="Times New Roman" w:hAnsi="Times New Roman" w:cs="Times New Roman"/>
          <w:b/>
          <w:sz w:val="20"/>
          <w:szCs w:val="20"/>
        </w:rPr>
        <w:t>1.tabula. Drošības līmeņa novērtējums</w:t>
      </w:r>
      <w:r w:rsidRPr="00E81424">
        <w:rPr>
          <w:rFonts w:ascii="Times New Roman" w:hAnsi="Times New Roman" w:cs="Times New Roman"/>
          <w:b/>
          <w:sz w:val="24"/>
          <w:szCs w:val="24"/>
        </w:rPr>
        <w:t xml:space="preserve"> </w:t>
      </w:r>
    </w:p>
    <w:p w14:paraId="10AFCDD1" w14:textId="77777777" w:rsidR="003360B6" w:rsidRPr="00E81424" w:rsidRDefault="003360B6" w:rsidP="003360B6">
      <w:pPr>
        <w:spacing w:after="0" w:line="240" w:lineRule="auto"/>
        <w:ind w:firstLine="720"/>
        <w:jc w:val="right"/>
        <w:rPr>
          <w:rFonts w:ascii="Times New Roman" w:hAnsi="Times New Roman" w:cs="Times New Roman"/>
          <w:b/>
        </w:rPr>
      </w:pPr>
    </w:p>
    <w:tbl>
      <w:tblPr>
        <w:tblW w:w="10065" w:type="dxa"/>
        <w:tblBorders>
          <w:insideH w:val="single" w:sz="4" w:space="0" w:color="595959" w:themeColor="text1" w:themeTint="A6"/>
          <w:insideV w:val="single" w:sz="4" w:space="0" w:color="595959" w:themeColor="text1" w:themeTint="A6"/>
        </w:tblBorders>
        <w:tblLayout w:type="fixed"/>
        <w:tblLook w:val="04A0" w:firstRow="1" w:lastRow="0" w:firstColumn="1" w:lastColumn="0" w:noHBand="0" w:noVBand="1"/>
      </w:tblPr>
      <w:tblGrid>
        <w:gridCol w:w="3544"/>
        <w:gridCol w:w="1418"/>
        <w:gridCol w:w="1701"/>
        <w:gridCol w:w="1701"/>
        <w:gridCol w:w="1701"/>
      </w:tblGrid>
      <w:tr w:rsidR="003360B6" w:rsidRPr="00E81424" w14:paraId="5BBE3346" w14:textId="77777777" w:rsidTr="0010315F">
        <w:tc>
          <w:tcPr>
            <w:tcW w:w="3544" w:type="dxa"/>
            <w:shd w:val="clear" w:color="auto" w:fill="auto"/>
          </w:tcPr>
          <w:p w14:paraId="43779242"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sz w:val="20"/>
                <w:szCs w:val="20"/>
                <w:lang w:val="lv-LV"/>
              </w:rPr>
              <w:tab/>
            </w:r>
            <w:r w:rsidRPr="00E81424">
              <w:rPr>
                <w:b/>
                <w:sz w:val="20"/>
                <w:szCs w:val="20"/>
                <w:lang w:val="lv-LV"/>
              </w:rPr>
              <w:t>Rādītāji</w:t>
            </w:r>
          </w:p>
        </w:tc>
        <w:tc>
          <w:tcPr>
            <w:tcW w:w="1418" w:type="dxa"/>
            <w:shd w:val="clear" w:color="auto" w:fill="auto"/>
          </w:tcPr>
          <w:p w14:paraId="5D32C4D1"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b/>
                <w:sz w:val="20"/>
                <w:szCs w:val="20"/>
                <w:lang w:val="lv-LV"/>
              </w:rPr>
              <w:t>Vērtība</w:t>
            </w:r>
          </w:p>
        </w:tc>
        <w:tc>
          <w:tcPr>
            <w:tcW w:w="1701" w:type="dxa"/>
          </w:tcPr>
          <w:p w14:paraId="7FB573C4"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b/>
                <w:sz w:val="20"/>
                <w:szCs w:val="20"/>
                <w:lang w:val="lv-LV"/>
              </w:rPr>
              <w:t>Izpildes kritērijs</w:t>
            </w:r>
          </w:p>
          <w:p w14:paraId="6F273158"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b/>
                <w:sz w:val="20"/>
                <w:szCs w:val="20"/>
                <w:lang w:val="lv-LV"/>
              </w:rPr>
              <w:t>2017</w:t>
            </w:r>
          </w:p>
        </w:tc>
        <w:tc>
          <w:tcPr>
            <w:tcW w:w="1701" w:type="dxa"/>
          </w:tcPr>
          <w:p w14:paraId="4D9CE2A5"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b/>
                <w:sz w:val="20"/>
                <w:szCs w:val="20"/>
                <w:lang w:val="lv-LV"/>
              </w:rPr>
              <w:t>Izpildes kritērijs</w:t>
            </w:r>
          </w:p>
          <w:p w14:paraId="16AFC084"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b/>
                <w:sz w:val="20"/>
                <w:szCs w:val="20"/>
                <w:lang w:val="lv-LV"/>
              </w:rPr>
              <w:t>2018</w:t>
            </w:r>
          </w:p>
        </w:tc>
        <w:tc>
          <w:tcPr>
            <w:tcW w:w="1701" w:type="dxa"/>
          </w:tcPr>
          <w:p w14:paraId="6F7942FE"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b/>
                <w:sz w:val="20"/>
                <w:szCs w:val="20"/>
                <w:lang w:val="lv-LV"/>
              </w:rPr>
              <w:t>Izpildes kritērijs</w:t>
            </w:r>
          </w:p>
          <w:p w14:paraId="1A0C0F93" w14:textId="77777777" w:rsidR="003360B6" w:rsidRPr="00E81424" w:rsidRDefault="003360B6" w:rsidP="0010315F">
            <w:pPr>
              <w:pStyle w:val="Paraststmeklis"/>
              <w:spacing w:before="0" w:beforeAutospacing="0" w:after="0" w:afterAutospacing="0"/>
              <w:jc w:val="center"/>
              <w:rPr>
                <w:b/>
                <w:sz w:val="20"/>
                <w:szCs w:val="20"/>
                <w:lang w:val="lv-LV"/>
              </w:rPr>
            </w:pPr>
            <w:r w:rsidRPr="00E81424">
              <w:rPr>
                <w:b/>
                <w:sz w:val="20"/>
                <w:szCs w:val="20"/>
                <w:lang w:val="lv-LV"/>
              </w:rPr>
              <w:t>2019</w:t>
            </w:r>
          </w:p>
        </w:tc>
      </w:tr>
      <w:tr w:rsidR="003360B6" w:rsidRPr="00E81424" w14:paraId="666A3E35" w14:textId="77777777" w:rsidTr="0010315F">
        <w:tc>
          <w:tcPr>
            <w:tcW w:w="3544" w:type="dxa"/>
            <w:shd w:val="clear" w:color="auto" w:fill="auto"/>
          </w:tcPr>
          <w:p w14:paraId="2AC1D91A" w14:textId="77777777" w:rsidR="003360B6" w:rsidRPr="00E81424" w:rsidRDefault="003360B6" w:rsidP="0010315F">
            <w:pPr>
              <w:pStyle w:val="Paraststmeklis"/>
              <w:spacing w:before="0" w:beforeAutospacing="0" w:after="0" w:afterAutospacing="0"/>
              <w:rPr>
                <w:sz w:val="22"/>
                <w:szCs w:val="22"/>
                <w:lang w:val="lv-LV"/>
              </w:rPr>
            </w:pPr>
            <w:r w:rsidRPr="00E81424">
              <w:rPr>
                <w:sz w:val="22"/>
                <w:szCs w:val="22"/>
                <w:lang w:val="lv-LV"/>
              </w:rPr>
              <w:t>Pasažieru risks (</w:t>
            </w:r>
            <w:r w:rsidRPr="00E81424">
              <w:rPr>
                <w:i/>
                <w:sz w:val="22"/>
                <w:szCs w:val="22"/>
                <w:lang w:val="lv-LV"/>
              </w:rPr>
              <w:t>NRV</w:t>
            </w:r>
            <w:r w:rsidRPr="00E81424">
              <w:rPr>
                <w:sz w:val="22"/>
                <w:szCs w:val="22"/>
                <w:lang w:val="lv-LV"/>
              </w:rPr>
              <w:t xml:space="preserve"> 1.1)</w:t>
            </w:r>
            <w:r w:rsidRPr="00E81424">
              <w:rPr>
                <w:rStyle w:val="Vresatsauce"/>
                <w:sz w:val="22"/>
                <w:szCs w:val="22"/>
                <w:lang w:val="lv-LV"/>
              </w:rPr>
              <w:footnoteReference w:id="1"/>
            </w:r>
          </w:p>
        </w:tc>
        <w:tc>
          <w:tcPr>
            <w:tcW w:w="1418" w:type="dxa"/>
            <w:shd w:val="clear" w:color="auto" w:fill="auto"/>
            <w:vAlign w:val="center"/>
          </w:tcPr>
          <w:p w14:paraId="69B277A9"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78,20 (</w:t>
            </w:r>
            <w:r w:rsidRPr="00E81424">
              <w:rPr>
                <w:sz w:val="22"/>
                <w:szCs w:val="22"/>
                <w:vertAlign w:val="superscript"/>
                <w:lang w:val="lv-LV"/>
              </w:rPr>
              <w:t>x</w:t>
            </w:r>
            <w:r w:rsidRPr="00E81424">
              <w:rPr>
                <w:sz w:val="22"/>
                <w:szCs w:val="22"/>
                <w:lang w:val="lv-LV"/>
              </w:rPr>
              <w:t>10</w:t>
            </w:r>
            <w:r w:rsidRPr="00E81424">
              <w:rPr>
                <w:sz w:val="22"/>
                <w:szCs w:val="22"/>
                <w:vertAlign w:val="superscript"/>
                <w:lang w:val="lv-LV"/>
              </w:rPr>
              <w:t>-9</w:t>
            </w:r>
            <w:r w:rsidRPr="00E81424">
              <w:rPr>
                <w:sz w:val="22"/>
                <w:szCs w:val="22"/>
                <w:lang w:val="lv-LV"/>
              </w:rPr>
              <w:t>)</w:t>
            </w:r>
          </w:p>
        </w:tc>
        <w:tc>
          <w:tcPr>
            <w:tcW w:w="1701" w:type="dxa"/>
            <w:vAlign w:val="center"/>
          </w:tcPr>
          <w:p w14:paraId="7EA57797"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2CE9DCF5"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22CE7BA5"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r>
      <w:tr w:rsidR="003360B6" w:rsidRPr="00E81424" w14:paraId="40720419" w14:textId="77777777" w:rsidTr="0010315F">
        <w:tc>
          <w:tcPr>
            <w:tcW w:w="3544" w:type="dxa"/>
            <w:shd w:val="clear" w:color="auto" w:fill="auto"/>
          </w:tcPr>
          <w:p w14:paraId="14E16C38" w14:textId="77777777" w:rsidR="003360B6" w:rsidRPr="00E81424" w:rsidRDefault="003360B6" w:rsidP="0010315F">
            <w:pPr>
              <w:pStyle w:val="Paraststmeklis"/>
              <w:spacing w:before="0" w:beforeAutospacing="0" w:after="0" w:afterAutospacing="0"/>
              <w:rPr>
                <w:sz w:val="22"/>
                <w:szCs w:val="22"/>
                <w:lang w:val="lv-LV"/>
              </w:rPr>
            </w:pPr>
            <w:r w:rsidRPr="00E81424">
              <w:rPr>
                <w:sz w:val="22"/>
                <w:szCs w:val="22"/>
                <w:lang w:val="lv-LV"/>
              </w:rPr>
              <w:t>Pasažieru risks (</w:t>
            </w:r>
            <w:r w:rsidRPr="00E81424">
              <w:rPr>
                <w:i/>
                <w:sz w:val="22"/>
                <w:szCs w:val="22"/>
                <w:lang w:val="lv-LV"/>
              </w:rPr>
              <w:t>NRV</w:t>
            </w:r>
            <w:r w:rsidRPr="00E81424">
              <w:rPr>
                <w:sz w:val="22"/>
                <w:szCs w:val="22"/>
                <w:lang w:val="lv-LV"/>
              </w:rPr>
              <w:t xml:space="preserve"> 1.2)</w:t>
            </w:r>
          </w:p>
        </w:tc>
        <w:tc>
          <w:tcPr>
            <w:tcW w:w="1418" w:type="dxa"/>
            <w:shd w:val="clear" w:color="auto" w:fill="auto"/>
            <w:vAlign w:val="center"/>
          </w:tcPr>
          <w:p w14:paraId="27016894"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0,665(</w:t>
            </w:r>
            <w:r w:rsidRPr="00E81424">
              <w:rPr>
                <w:sz w:val="22"/>
                <w:szCs w:val="22"/>
                <w:vertAlign w:val="superscript"/>
                <w:lang w:val="lv-LV"/>
              </w:rPr>
              <w:t>x</w:t>
            </w:r>
            <w:r w:rsidRPr="00E81424">
              <w:rPr>
                <w:sz w:val="22"/>
                <w:szCs w:val="22"/>
                <w:lang w:val="lv-LV"/>
              </w:rPr>
              <w:t>10</w:t>
            </w:r>
            <w:r w:rsidRPr="00E81424">
              <w:rPr>
                <w:sz w:val="22"/>
                <w:szCs w:val="22"/>
                <w:vertAlign w:val="superscript"/>
                <w:lang w:val="lv-LV"/>
              </w:rPr>
              <w:t>-9</w:t>
            </w:r>
            <w:r w:rsidRPr="00E81424">
              <w:rPr>
                <w:sz w:val="22"/>
                <w:szCs w:val="22"/>
                <w:lang w:val="lv-LV"/>
              </w:rPr>
              <w:t>)</w:t>
            </w:r>
          </w:p>
        </w:tc>
        <w:tc>
          <w:tcPr>
            <w:tcW w:w="1701" w:type="dxa"/>
            <w:vAlign w:val="center"/>
          </w:tcPr>
          <w:p w14:paraId="7C15AD22"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669FFA78"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2258B705"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r>
      <w:tr w:rsidR="003360B6" w:rsidRPr="00E81424" w14:paraId="765EEB8E" w14:textId="77777777" w:rsidTr="0010315F">
        <w:tc>
          <w:tcPr>
            <w:tcW w:w="3544" w:type="dxa"/>
            <w:shd w:val="clear" w:color="auto" w:fill="auto"/>
          </w:tcPr>
          <w:p w14:paraId="1B158FFE" w14:textId="77777777" w:rsidR="003360B6" w:rsidRPr="00E81424" w:rsidRDefault="003360B6" w:rsidP="0010315F">
            <w:pPr>
              <w:pStyle w:val="Paraststmeklis"/>
              <w:spacing w:before="0" w:beforeAutospacing="0" w:after="0" w:afterAutospacing="0"/>
              <w:rPr>
                <w:sz w:val="22"/>
                <w:szCs w:val="22"/>
                <w:lang w:val="lv-LV"/>
              </w:rPr>
            </w:pPr>
            <w:r w:rsidRPr="00E81424">
              <w:rPr>
                <w:sz w:val="22"/>
                <w:szCs w:val="22"/>
                <w:lang w:val="lv-LV"/>
              </w:rPr>
              <w:t>Darbinieku risks (</w:t>
            </w:r>
            <w:r w:rsidRPr="00E81424">
              <w:rPr>
                <w:i/>
                <w:sz w:val="22"/>
                <w:szCs w:val="22"/>
                <w:lang w:val="lv-LV"/>
              </w:rPr>
              <w:t>NRV</w:t>
            </w:r>
            <w:r w:rsidRPr="00E81424">
              <w:rPr>
                <w:sz w:val="22"/>
                <w:szCs w:val="22"/>
                <w:lang w:val="lv-LV"/>
              </w:rPr>
              <w:t xml:space="preserve"> 2)</w:t>
            </w:r>
          </w:p>
        </w:tc>
        <w:tc>
          <w:tcPr>
            <w:tcW w:w="1418" w:type="dxa"/>
            <w:shd w:val="clear" w:color="auto" w:fill="auto"/>
            <w:vAlign w:val="center"/>
          </w:tcPr>
          <w:p w14:paraId="2541D300"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64,80(</w:t>
            </w:r>
            <w:r w:rsidRPr="00E81424">
              <w:rPr>
                <w:sz w:val="22"/>
                <w:szCs w:val="22"/>
                <w:vertAlign w:val="superscript"/>
                <w:lang w:val="lv-LV"/>
              </w:rPr>
              <w:t>x</w:t>
            </w:r>
            <w:r w:rsidRPr="00E81424">
              <w:rPr>
                <w:sz w:val="22"/>
                <w:szCs w:val="22"/>
                <w:lang w:val="lv-LV"/>
              </w:rPr>
              <w:t>10</w:t>
            </w:r>
            <w:r w:rsidRPr="00E81424">
              <w:rPr>
                <w:sz w:val="22"/>
                <w:szCs w:val="22"/>
                <w:vertAlign w:val="superscript"/>
                <w:lang w:val="lv-LV"/>
              </w:rPr>
              <w:t>-9</w:t>
            </w:r>
            <w:r w:rsidRPr="00E81424">
              <w:rPr>
                <w:sz w:val="22"/>
                <w:szCs w:val="22"/>
                <w:lang w:val="lv-LV"/>
              </w:rPr>
              <w:t>)</w:t>
            </w:r>
          </w:p>
        </w:tc>
        <w:tc>
          <w:tcPr>
            <w:tcW w:w="1701" w:type="dxa"/>
            <w:vAlign w:val="center"/>
          </w:tcPr>
          <w:p w14:paraId="694864AA"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194ABA68"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62DDE9CB"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r>
      <w:tr w:rsidR="003360B6" w:rsidRPr="00E81424" w14:paraId="084E6A46" w14:textId="77777777" w:rsidTr="0010315F">
        <w:tc>
          <w:tcPr>
            <w:tcW w:w="3544" w:type="dxa"/>
            <w:shd w:val="clear" w:color="auto" w:fill="auto"/>
          </w:tcPr>
          <w:p w14:paraId="327FAC7C" w14:textId="77777777" w:rsidR="003360B6" w:rsidRPr="00E81424" w:rsidRDefault="003360B6" w:rsidP="0010315F">
            <w:pPr>
              <w:pStyle w:val="Paraststmeklis"/>
              <w:spacing w:before="0" w:beforeAutospacing="0" w:after="0" w:afterAutospacing="0"/>
              <w:rPr>
                <w:sz w:val="22"/>
                <w:szCs w:val="22"/>
                <w:lang w:val="lv-LV"/>
              </w:rPr>
            </w:pPr>
            <w:r w:rsidRPr="00E81424">
              <w:rPr>
                <w:sz w:val="22"/>
                <w:szCs w:val="22"/>
                <w:lang w:val="lv-LV"/>
              </w:rPr>
              <w:t>Pārbrauktuvju lietotāju risks (</w:t>
            </w:r>
            <w:r w:rsidRPr="00E81424">
              <w:rPr>
                <w:i/>
                <w:sz w:val="22"/>
                <w:szCs w:val="22"/>
                <w:lang w:val="lv-LV"/>
              </w:rPr>
              <w:t>NRV</w:t>
            </w:r>
            <w:r w:rsidRPr="00E81424">
              <w:rPr>
                <w:sz w:val="22"/>
                <w:szCs w:val="22"/>
                <w:lang w:val="lv-LV"/>
              </w:rPr>
              <w:t xml:space="preserve"> 3)</w:t>
            </w:r>
          </w:p>
        </w:tc>
        <w:tc>
          <w:tcPr>
            <w:tcW w:w="1418" w:type="dxa"/>
            <w:shd w:val="clear" w:color="auto" w:fill="auto"/>
            <w:vAlign w:val="center"/>
          </w:tcPr>
          <w:p w14:paraId="6708DB4C"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239,0 (</w:t>
            </w:r>
            <w:r w:rsidRPr="00E81424">
              <w:rPr>
                <w:sz w:val="22"/>
                <w:szCs w:val="22"/>
                <w:vertAlign w:val="superscript"/>
                <w:lang w:val="lv-LV"/>
              </w:rPr>
              <w:t>x</w:t>
            </w:r>
            <w:r w:rsidRPr="00E81424">
              <w:rPr>
                <w:sz w:val="22"/>
                <w:szCs w:val="22"/>
                <w:lang w:val="lv-LV"/>
              </w:rPr>
              <w:t>10</w:t>
            </w:r>
            <w:r w:rsidRPr="00E81424">
              <w:rPr>
                <w:sz w:val="22"/>
                <w:szCs w:val="22"/>
                <w:vertAlign w:val="superscript"/>
                <w:lang w:val="lv-LV"/>
              </w:rPr>
              <w:t>-9</w:t>
            </w:r>
            <w:r w:rsidRPr="00E81424">
              <w:rPr>
                <w:sz w:val="22"/>
                <w:szCs w:val="22"/>
                <w:lang w:val="lv-LV"/>
              </w:rPr>
              <w:t>)</w:t>
            </w:r>
          </w:p>
        </w:tc>
        <w:tc>
          <w:tcPr>
            <w:tcW w:w="1701" w:type="dxa"/>
            <w:vAlign w:val="center"/>
          </w:tcPr>
          <w:p w14:paraId="59D1F309"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666586D8"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5FF2FFDB"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r>
      <w:tr w:rsidR="003360B6" w:rsidRPr="00E81424" w14:paraId="7850C9A9" w14:textId="77777777" w:rsidTr="0010315F">
        <w:tc>
          <w:tcPr>
            <w:tcW w:w="3544" w:type="dxa"/>
            <w:shd w:val="clear" w:color="auto" w:fill="auto"/>
          </w:tcPr>
          <w:p w14:paraId="434FC09E" w14:textId="77777777" w:rsidR="003360B6" w:rsidRPr="00E81424" w:rsidRDefault="003360B6" w:rsidP="0010315F">
            <w:pPr>
              <w:pStyle w:val="Paraststmeklis"/>
              <w:spacing w:before="0" w:beforeAutospacing="0" w:after="0" w:afterAutospacing="0"/>
              <w:rPr>
                <w:sz w:val="22"/>
                <w:szCs w:val="22"/>
                <w:lang w:val="lv-LV"/>
              </w:rPr>
            </w:pPr>
            <w:r w:rsidRPr="00E81424">
              <w:rPr>
                <w:sz w:val="22"/>
                <w:szCs w:val="22"/>
                <w:lang w:val="lv-LV"/>
              </w:rPr>
              <w:t>„Citu” personu  risks (</w:t>
            </w:r>
            <w:r w:rsidRPr="00E81424">
              <w:rPr>
                <w:i/>
                <w:sz w:val="22"/>
                <w:szCs w:val="22"/>
                <w:lang w:val="lv-LV"/>
              </w:rPr>
              <w:t>NRV</w:t>
            </w:r>
            <w:r w:rsidRPr="00E81424">
              <w:rPr>
                <w:sz w:val="22"/>
                <w:szCs w:val="22"/>
                <w:lang w:val="lv-LV"/>
              </w:rPr>
              <w:t xml:space="preserve"> 4)</w:t>
            </w:r>
          </w:p>
        </w:tc>
        <w:tc>
          <w:tcPr>
            <w:tcW w:w="1418" w:type="dxa"/>
            <w:shd w:val="clear" w:color="auto" w:fill="auto"/>
            <w:vAlign w:val="center"/>
          </w:tcPr>
          <w:p w14:paraId="659D4849"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11,60  (</w:t>
            </w:r>
            <w:r w:rsidRPr="00E81424">
              <w:rPr>
                <w:sz w:val="22"/>
                <w:szCs w:val="22"/>
                <w:vertAlign w:val="superscript"/>
                <w:lang w:val="lv-LV"/>
              </w:rPr>
              <w:t>x</w:t>
            </w:r>
            <w:r w:rsidRPr="00E81424">
              <w:rPr>
                <w:sz w:val="22"/>
                <w:szCs w:val="22"/>
                <w:lang w:val="lv-LV"/>
              </w:rPr>
              <w:t>10</w:t>
            </w:r>
            <w:r w:rsidRPr="00E81424">
              <w:rPr>
                <w:sz w:val="22"/>
                <w:szCs w:val="22"/>
                <w:vertAlign w:val="superscript"/>
                <w:lang w:val="lv-LV"/>
              </w:rPr>
              <w:t>-9</w:t>
            </w:r>
            <w:r w:rsidRPr="00E81424">
              <w:rPr>
                <w:sz w:val="22"/>
                <w:szCs w:val="22"/>
                <w:lang w:val="lv-LV"/>
              </w:rPr>
              <w:t>)</w:t>
            </w:r>
          </w:p>
        </w:tc>
        <w:tc>
          <w:tcPr>
            <w:tcW w:w="1701" w:type="dxa"/>
            <w:shd w:val="clear" w:color="auto" w:fill="auto"/>
            <w:vAlign w:val="center"/>
          </w:tcPr>
          <w:p w14:paraId="5DEAFF05"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shd w:val="clear" w:color="auto" w:fill="auto"/>
            <w:vAlign w:val="center"/>
          </w:tcPr>
          <w:p w14:paraId="1B464F3D"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Pastāv riski</w:t>
            </w:r>
          </w:p>
        </w:tc>
        <w:tc>
          <w:tcPr>
            <w:tcW w:w="1701" w:type="dxa"/>
            <w:vAlign w:val="center"/>
          </w:tcPr>
          <w:p w14:paraId="735AAAA1"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Pastāv riski</w:t>
            </w:r>
          </w:p>
        </w:tc>
      </w:tr>
      <w:tr w:rsidR="003360B6" w:rsidRPr="00E81424" w14:paraId="2FD2625E" w14:textId="77777777" w:rsidTr="0010315F">
        <w:tc>
          <w:tcPr>
            <w:tcW w:w="3544" w:type="dxa"/>
            <w:shd w:val="clear" w:color="auto" w:fill="auto"/>
          </w:tcPr>
          <w:p w14:paraId="4E555D3E" w14:textId="77777777" w:rsidR="003360B6" w:rsidRPr="00E81424" w:rsidRDefault="003360B6" w:rsidP="0010315F">
            <w:pPr>
              <w:pStyle w:val="Paraststmeklis"/>
              <w:spacing w:before="0" w:beforeAutospacing="0" w:after="0" w:afterAutospacing="0"/>
              <w:rPr>
                <w:sz w:val="22"/>
                <w:szCs w:val="22"/>
                <w:lang w:val="lv-LV"/>
              </w:rPr>
            </w:pPr>
            <w:r w:rsidRPr="00E81424">
              <w:rPr>
                <w:sz w:val="22"/>
                <w:szCs w:val="22"/>
                <w:lang w:val="lv-LV"/>
              </w:rPr>
              <w:t>Dzelzceļa teritorijā nepiederošu personu risks (</w:t>
            </w:r>
            <w:r w:rsidRPr="00E81424">
              <w:rPr>
                <w:i/>
                <w:sz w:val="22"/>
                <w:szCs w:val="22"/>
                <w:lang w:val="lv-LV"/>
              </w:rPr>
              <w:t>NRV</w:t>
            </w:r>
            <w:r w:rsidRPr="00E81424">
              <w:rPr>
                <w:sz w:val="22"/>
                <w:szCs w:val="22"/>
                <w:lang w:val="lv-LV"/>
              </w:rPr>
              <w:t xml:space="preserve"> 5)</w:t>
            </w:r>
          </w:p>
        </w:tc>
        <w:tc>
          <w:tcPr>
            <w:tcW w:w="1418" w:type="dxa"/>
            <w:shd w:val="clear" w:color="auto" w:fill="auto"/>
            <w:vAlign w:val="center"/>
          </w:tcPr>
          <w:p w14:paraId="3BE6EF50"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1310,0 (</w:t>
            </w:r>
            <w:r w:rsidRPr="00E81424">
              <w:rPr>
                <w:sz w:val="22"/>
                <w:szCs w:val="22"/>
                <w:vertAlign w:val="superscript"/>
                <w:lang w:val="lv-LV"/>
              </w:rPr>
              <w:t>x</w:t>
            </w:r>
            <w:r w:rsidRPr="00E81424">
              <w:rPr>
                <w:sz w:val="22"/>
                <w:szCs w:val="22"/>
                <w:lang w:val="lv-LV"/>
              </w:rPr>
              <w:t>10</w:t>
            </w:r>
            <w:r w:rsidRPr="00E81424">
              <w:rPr>
                <w:sz w:val="22"/>
                <w:szCs w:val="22"/>
                <w:vertAlign w:val="superscript"/>
                <w:lang w:val="lv-LV"/>
              </w:rPr>
              <w:t>-9</w:t>
            </w:r>
            <w:r w:rsidRPr="00E81424">
              <w:rPr>
                <w:sz w:val="22"/>
                <w:szCs w:val="22"/>
                <w:lang w:val="lv-LV"/>
              </w:rPr>
              <w:t>)</w:t>
            </w:r>
          </w:p>
        </w:tc>
        <w:tc>
          <w:tcPr>
            <w:tcW w:w="1701" w:type="dxa"/>
            <w:shd w:val="clear" w:color="auto" w:fill="auto"/>
            <w:vAlign w:val="center"/>
          </w:tcPr>
          <w:p w14:paraId="25779719"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shd w:val="clear" w:color="auto" w:fill="auto"/>
            <w:vAlign w:val="center"/>
          </w:tcPr>
          <w:p w14:paraId="77EC550C"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4087ABB0"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r>
      <w:tr w:rsidR="003360B6" w:rsidRPr="00E81424" w14:paraId="7D427772" w14:textId="77777777" w:rsidTr="0010315F">
        <w:tc>
          <w:tcPr>
            <w:tcW w:w="3544" w:type="dxa"/>
            <w:shd w:val="clear" w:color="auto" w:fill="auto"/>
          </w:tcPr>
          <w:p w14:paraId="35148B69" w14:textId="77777777" w:rsidR="003360B6" w:rsidRPr="00E81424" w:rsidRDefault="003360B6" w:rsidP="0010315F">
            <w:pPr>
              <w:pStyle w:val="Paraststmeklis"/>
              <w:spacing w:before="0" w:beforeAutospacing="0" w:after="0" w:afterAutospacing="0"/>
              <w:rPr>
                <w:sz w:val="22"/>
                <w:szCs w:val="22"/>
                <w:lang w:val="lv-LV"/>
              </w:rPr>
            </w:pPr>
            <w:r w:rsidRPr="00E81424">
              <w:rPr>
                <w:sz w:val="22"/>
                <w:szCs w:val="22"/>
                <w:lang w:val="lv-LV"/>
              </w:rPr>
              <w:t>Sabiedrības risks (</w:t>
            </w:r>
            <w:r w:rsidRPr="00E81424">
              <w:rPr>
                <w:i/>
                <w:sz w:val="22"/>
                <w:szCs w:val="22"/>
                <w:lang w:val="lv-LV"/>
              </w:rPr>
              <w:t>NRV</w:t>
            </w:r>
            <w:r w:rsidRPr="00E81424">
              <w:rPr>
                <w:sz w:val="22"/>
                <w:szCs w:val="22"/>
                <w:lang w:val="lv-LV"/>
              </w:rPr>
              <w:t xml:space="preserve"> 6)</w:t>
            </w:r>
          </w:p>
        </w:tc>
        <w:tc>
          <w:tcPr>
            <w:tcW w:w="1418" w:type="dxa"/>
            <w:shd w:val="clear" w:color="auto" w:fill="auto"/>
            <w:vAlign w:val="center"/>
          </w:tcPr>
          <w:p w14:paraId="70351E1F"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1660,0 (</w:t>
            </w:r>
            <w:r w:rsidRPr="00E81424">
              <w:rPr>
                <w:sz w:val="22"/>
                <w:szCs w:val="22"/>
                <w:vertAlign w:val="superscript"/>
                <w:lang w:val="lv-LV"/>
              </w:rPr>
              <w:t>x</w:t>
            </w:r>
            <w:r w:rsidRPr="00E81424">
              <w:rPr>
                <w:sz w:val="22"/>
                <w:szCs w:val="22"/>
                <w:lang w:val="lv-LV"/>
              </w:rPr>
              <w:t>10</w:t>
            </w:r>
            <w:r w:rsidRPr="00E81424">
              <w:rPr>
                <w:sz w:val="22"/>
                <w:szCs w:val="22"/>
                <w:vertAlign w:val="superscript"/>
                <w:lang w:val="lv-LV"/>
              </w:rPr>
              <w:t>-9</w:t>
            </w:r>
            <w:r w:rsidRPr="00E81424">
              <w:rPr>
                <w:sz w:val="22"/>
                <w:szCs w:val="22"/>
                <w:lang w:val="lv-LV"/>
              </w:rPr>
              <w:t>)</w:t>
            </w:r>
          </w:p>
        </w:tc>
        <w:tc>
          <w:tcPr>
            <w:tcW w:w="1701" w:type="dxa"/>
            <w:shd w:val="clear" w:color="auto" w:fill="auto"/>
            <w:vAlign w:val="center"/>
          </w:tcPr>
          <w:p w14:paraId="40D18971"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shd w:val="clear" w:color="auto" w:fill="auto"/>
            <w:vAlign w:val="center"/>
          </w:tcPr>
          <w:p w14:paraId="41928965"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c>
          <w:tcPr>
            <w:tcW w:w="1701" w:type="dxa"/>
            <w:vAlign w:val="center"/>
          </w:tcPr>
          <w:p w14:paraId="2DADBD43" w14:textId="77777777" w:rsidR="003360B6" w:rsidRPr="00E81424" w:rsidRDefault="003360B6" w:rsidP="0010315F">
            <w:pPr>
              <w:pStyle w:val="Paraststmeklis"/>
              <w:spacing w:before="0" w:beforeAutospacing="0" w:after="0" w:afterAutospacing="0"/>
              <w:jc w:val="center"/>
              <w:rPr>
                <w:sz w:val="22"/>
                <w:szCs w:val="22"/>
                <w:lang w:val="lv-LV"/>
              </w:rPr>
            </w:pPr>
            <w:r w:rsidRPr="00E81424">
              <w:rPr>
                <w:sz w:val="22"/>
                <w:szCs w:val="22"/>
                <w:lang w:val="lv-LV"/>
              </w:rPr>
              <w:t>Nav pārsniegts</w:t>
            </w:r>
          </w:p>
        </w:tc>
      </w:tr>
    </w:tbl>
    <w:p w14:paraId="446B32CD" w14:textId="77777777" w:rsidR="003360B6" w:rsidRPr="00C4538B" w:rsidRDefault="003360B6" w:rsidP="003360B6">
      <w:pPr>
        <w:pStyle w:val="Pamatteksts"/>
        <w:tabs>
          <w:tab w:val="left" w:pos="709"/>
        </w:tabs>
        <w:spacing w:after="0"/>
        <w:jc w:val="both"/>
      </w:pPr>
    </w:p>
    <w:p w14:paraId="6383AD07" w14:textId="0F8968DE" w:rsidR="003360B6" w:rsidRPr="00C4538B" w:rsidRDefault="00A418EF" w:rsidP="00A418EF">
      <w:pPr>
        <w:pStyle w:val="Pamatteksts"/>
        <w:tabs>
          <w:tab w:val="left" w:pos="709"/>
        </w:tabs>
        <w:spacing w:after="0"/>
        <w:jc w:val="both"/>
      </w:pPr>
      <w:r>
        <w:tab/>
      </w:r>
      <w:r w:rsidR="003360B6" w:rsidRPr="00C4538B">
        <w:t xml:space="preserve">Ir jāpievērš uzmanība ne tikai faktoriem, kas tiešā mērā ietekmē dzelzceļa drošību (negadījumu skaits, tajos bojāgājušo un cietušo skaits, kaitējums videi, u.t.t.), bet ir arī jānorāda, ka drošība ir atkarīga no dzelzceļa transporta kustībā iesaistīto personu attieksmes, dzelzceļa vai ceļu transportlīdzekļa tehniskā stāvokļa un infrastruktūras. </w:t>
      </w:r>
    </w:p>
    <w:p w14:paraId="786A151C" w14:textId="098CAB6F" w:rsidR="003360B6" w:rsidRPr="00C4538B" w:rsidRDefault="00D514E9" w:rsidP="00B155F5">
      <w:pPr>
        <w:pStyle w:val="Pamatteksts"/>
        <w:tabs>
          <w:tab w:val="left" w:pos="709"/>
        </w:tabs>
        <w:spacing w:before="120" w:after="0"/>
        <w:ind w:firstLine="709"/>
        <w:jc w:val="both"/>
      </w:pPr>
      <w:r w:rsidRPr="00C4538B">
        <w:rPr>
          <w:bCs/>
        </w:rPr>
        <w:t xml:space="preserve">Lielai daļai negadījumu izraisošie faktori ir “ārējie un sociālie faktori” – cilvēku uzvedība, drošības prasību ignorēšana, </w:t>
      </w:r>
      <w:proofErr w:type="spellStart"/>
      <w:r w:rsidRPr="00C4538B">
        <w:rPr>
          <w:bCs/>
        </w:rPr>
        <w:t>u.t.m.l</w:t>
      </w:r>
      <w:proofErr w:type="spellEnd"/>
      <w:r w:rsidRPr="00C4538B">
        <w:rPr>
          <w:bCs/>
        </w:rPr>
        <w:t xml:space="preserve">. </w:t>
      </w:r>
      <w:r w:rsidR="003360B6" w:rsidRPr="00B155F5">
        <w:rPr>
          <w:b/>
          <w:bCs/>
        </w:rPr>
        <w:t>Sociālie  un demogrāfiskie faktori</w:t>
      </w:r>
      <w:r w:rsidR="003360B6" w:rsidRPr="00C4538B">
        <w:t>, kas ietekmē  t.s. “ārējo” dzelzceļa satiksmes negadījumu rezultātus:</w:t>
      </w:r>
    </w:p>
    <w:p w14:paraId="18B8D014" w14:textId="74475AD9" w:rsidR="003360B6" w:rsidRPr="00C4538B" w:rsidRDefault="003360B6" w:rsidP="001E70BE">
      <w:pPr>
        <w:pStyle w:val="Sarakstarindkopa"/>
        <w:numPr>
          <w:ilvl w:val="0"/>
          <w:numId w:val="3"/>
        </w:numPr>
        <w:tabs>
          <w:tab w:val="left" w:pos="993"/>
        </w:tabs>
        <w:ind w:left="0" w:firstLine="780"/>
        <w:jc w:val="both"/>
      </w:pPr>
      <w:r w:rsidRPr="00C4538B">
        <w:rPr>
          <w:b/>
        </w:rPr>
        <w:t>dzimums</w:t>
      </w:r>
      <w:r w:rsidRPr="00C4538B">
        <w:t xml:space="preserve"> – negadījumos cieš pārsvarā </w:t>
      </w:r>
      <w:r w:rsidRPr="00C4538B">
        <w:rPr>
          <w:i/>
        </w:rPr>
        <w:t>vīrieši</w:t>
      </w:r>
      <w:r w:rsidR="001E70BE">
        <w:rPr>
          <w:i/>
        </w:rPr>
        <w:t xml:space="preserve">, </w:t>
      </w:r>
      <w:r w:rsidR="001E70BE" w:rsidRPr="001E70BE">
        <w:rPr>
          <w:iCs/>
        </w:rPr>
        <w:t>vidēji tie ir 86%</w:t>
      </w:r>
      <w:r w:rsidR="001E70BE">
        <w:rPr>
          <w:iCs/>
        </w:rPr>
        <w:t xml:space="preserve"> no cietušo skaita;</w:t>
      </w:r>
    </w:p>
    <w:p w14:paraId="05136151" w14:textId="386F8D24" w:rsidR="003360B6" w:rsidRPr="00C4538B" w:rsidRDefault="003360B6" w:rsidP="001E70BE">
      <w:pPr>
        <w:pStyle w:val="Sarakstarindkopa"/>
        <w:numPr>
          <w:ilvl w:val="0"/>
          <w:numId w:val="3"/>
        </w:numPr>
        <w:tabs>
          <w:tab w:val="left" w:pos="993"/>
        </w:tabs>
        <w:ind w:left="0" w:firstLine="780"/>
        <w:jc w:val="both"/>
      </w:pPr>
      <w:r w:rsidRPr="00C4538B">
        <w:rPr>
          <w:b/>
        </w:rPr>
        <w:lastRenderedPageBreak/>
        <w:t>vecums</w:t>
      </w:r>
      <w:r w:rsidRPr="00C4538B">
        <w:t xml:space="preserve"> – tiek traumētas personas darbspējīgā vecumā. </w:t>
      </w:r>
      <w:r w:rsidRPr="00C4538B">
        <w:rPr>
          <w:i/>
        </w:rPr>
        <w:t>28% gadījumos  ir personas vecumā no 41-60 gadiem un pārsvarā vīrieši</w:t>
      </w:r>
      <w:r w:rsidR="001E70BE">
        <w:rPr>
          <w:i/>
        </w:rPr>
        <w:t>;</w:t>
      </w:r>
    </w:p>
    <w:p w14:paraId="53890FEE" w14:textId="68C83FDB" w:rsidR="003360B6" w:rsidRPr="00C4538B" w:rsidRDefault="003360B6" w:rsidP="001E70BE">
      <w:pPr>
        <w:pStyle w:val="Sarakstarindkopa"/>
        <w:numPr>
          <w:ilvl w:val="0"/>
          <w:numId w:val="3"/>
        </w:numPr>
        <w:tabs>
          <w:tab w:val="left" w:pos="993"/>
        </w:tabs>
        <w:ind w:left="0" w:firstLine="780"/>
        <w:jc w:val="both"/>
      </w:pPr>
      <w:r w:rsidRPr="00C4538B">
        <w:rPr>
          <w:b/>
        </w:rPr>
        <w:t>drošības kultūras ievērošana</w:t>
      </w:r>
      <w:r w:rsidRPr="00C4538B">
        <w:t xml:space="preserve"> –  </w:t>
      </w:r>
      <w:r w:rsidRPr="001E70BE">
        <w:rPr>
          <w:i/>
          <w:iCs/>
        </w:rPr>
        <w:t>3</w:t>
      </w:r>
      <w:r w:rsidR="001E70BE">
        <w:rPr>
          <w:i/>
          <w:iCs/>
        </w:rPr>
        <w:t>7</w:t>
      </w:r>
      <w:r w:rsidRPr="001E70BE">
        <w:rPr>
          <w:i/>
          <w:iCs/>
        </w:rPr>
        <w:t xml:space="preserve"> % no cietušajām personām ir lietojušas alkoholu</w:t>
      </w:r>
      <w:r w:rsidRPr="00C4538B">
        <w:t xml:space="preserve"> (gulēšana uz platformām vai sliedēm), austiņu lietošana šķērsojot pārejas vai pārbrauktuves, izskriešana pirms braucoša vilciena, u.c. Īsziņu rakstīšana, mūzikas klausīšanās austiņās, runāšana pa telefonu ir ietekmējusi cietušo personu pieaugumu uz platformām.</w:t>
      </w:r>
    </w:p>
    <w:p w14:paraId="4C34FD72" w14:textId="77777777" w:rsidR="003360B6" w:rsidRPr="00C4538B" w:rsidRDefault="003360B6" w:rsidP="003360B6">
      <w:pPr>
        <w:pStyle w:val="Sarakstarindkopa"/>
        <w:numPr>
          <w:ilvl w:val="0"/>
          <w:numId w:val="3"/>
        </w:numPr>
        <w:tabs>
          <w:tab w:val="left" w:pos="1134"/>
        </w:tabs>
        <w:ind w:left="0" w:firstLine="780"/>
        <w:jc w:val="both"/>
      </w:pPr>
      <w:r w:rsidRPr="00C4538B">
        <w:rPr>
          <w:b/>
        </w:rPr>
        <w:t>kritiskā domāšana</w:t>
      </w:r>
      <w:r w:rsidRPr="00C4538B">
        <w:t xml:space="preserve"> - iedzīvotāji šķērsojot sliežu ceļus nenovērtē iespējamos riskus, kam par iemeslu var būt ikdienas rutīna, laika neaprēķināšana, u.t.t.</w:t>
      </w:r>
    </w:p>
    <w:p w14:paraId="27EBCC0B" w14:textId="77777777" w:rsidR="003360B6" w:rsidRPr="00C4538B" w:rsidRDefault="003360B6" w:rsidP="003360B6">
      <w:pPr>
        <w:pStyle w:val="Sarakstarindkopa"/>
        <w:numPr>
          <w:ilvl w:val="0"/>
          <w:numId w:val="3"/>
        </w:numPr>
        <w:tabs>
          <w:tab w:val="left" w:pos="1134"/>
        </w:tabs>
        <w:ind w:left="0" w:firstLine="720"/>
        <w:jc w:val="both"/>
      </w:pPr>
      <w:r w:rsidRPr="00C4538B">
        <w:rPr>
          <w:b/>
        </w:rPr>
        <w:t xml:space="preserve">pašnāvības </w:t>
      </w:r>
      <w:r w:rsidRPr="00C4538B">
        <w:t>– no kopējo negadījumu skaita tās sastāda 18%. Pašnāvību skaits gadu no gada svārstās. Pašnāvību gadījumi visvairāk reģistrēti ar personām vecumā no 20 līdz 35 gadiem. Demogrāfiskie dati liecina, ka 68% gadījumos pašnāvības veic vīrieši.</w:t>
      </w:r>
    </w:p>
    <w:p w14:paraId="1BFF7C5E" w14:textId="77777777" w:rsidR="003360B6" w:rsidRPr="00C4538B" w:rsidRDefault="003360B6" w:rsidP="003360B6">
      <w:pPr>
        <w:spacing w:before="120" w:after="0" w:line="240" w:lineRule="auto"/>
        <w:ind w:firstLine="720"/>
        <w:jc w:val="both"/>
        <w:rPr>
          <w:rFonts w:ascii="Times New Roman" w:hAnsi="Times New Roman" w:cs="Times New Roman"/>
          <w:sz w:val="24"/>
          <w:szCs w:val="24"/>
        </w:rPr>
      </w:pPr>
      <w:r w:rsidRPr="00C4538B">
        <w:rPr>
          <w:rFonts w:ascii="Times New Roman" w:hAnsi="Times New Roman" w:cs="Times New Roman"/>
          <w:b/>
          <w:sz w:val="24"/>
          <w:szCs w:val="24"/>
        </w:rPr>
        <w:t xml:space="preserve">Ekonomiskie faktori, </w:t>
      </w:r>
      <w:r w:rsidRPr="00B155F5">
        <w:rPr>
          <w:rFonts w:ascii="Times New Roman" w:hAnsi="Times New Roman" w:cs="Times New Roman"/>
          <w:bCs/>
          <w:sz w:val="24"/>
          <w:szCs w:val="24"/>
        </w:rPr>
        <w:t>kas ietekmē negadījumu rezultātus</w:t>
      </w:r>
      <w:r w:rsidRPr="00C4538B">
        <w:rPr>
          <w:rFonts w:ascii="Times New Roman" w:hAnsi="Times New Roman" w:cs="Times New Roman"/>
          <w:sz w:val="24"/>
          <w:szCs w:val="24"/>
        </w:rPr>
        <w:t>:</w:t>
      </w:r>
    </w:p>
    <w:p w14:paraId="3352E8BB" w14:textId="77777777" w:rsidR="003360B6" w:rsidRPr="00C4538B" w:rsidRDefault="003360B6" w:rsidP="003360B6">
      <w:pPr>
        <w:pStyle w:val="Sarakstarindkopa"/>
        <w:numPr>
          <w:ilvl w:val="0"/>
          <w:numId w:val="3"/>
        </w:numPr>
        <w:jc w:val="both"/>
      </w:pPr>
      <w:r w:rsidRPr="00C4538B">
        <w:rPr>
          <w:b/>
        </w:rPr>
        <w:t>finansējums</w:t>
      </w:r>
      <w:r w:rsidRPr="00C4538B">
        <w:t xml:space="preserve"> – nepietiekams finansējuma apjoms nožogojumu uzstādīšanai, </w:t>
      </w:r>
    </w:p>
    <w:p w14:paraId="0EB72BD2" w14:textId="77777777" w:rsidR="003360B6" w:rsidRPr="00C4538B" w:rsidRDefault="003360B6" w:rsidP="003360B6">
      <w:pPr>
        <w:pStyle w:val="Sarakstarindkopa"/>
        <w:numPr>
          <w:ilvl w:val="0"/>
          <w:numId w:val="3"/>
        </w:numPr>
        <w:tabs>
          <w:tab w:val="left" w:pos="1134"/>
        </w:tabs>
        <w:ind w:left="0" w:firstLine="780"/>
        <w:jc w:val="both"/>
      </w:pPr>
      <w:r w:rsidRPr="00C4538B">
        <w:rPr>
          <w:b/>
        </w:rPr>
        <w:t>būvobjektu modernizācija</w:t>
      </w:r>
      <w:r w:rsidRPr="00C4538B">
        <w:t xml:space="preserve"> – nepieciešamība papildus pārdomāt drošības prasības, kas ne vienmēr tiek nodrošināts izstrādājot projektus;</w:t>
      </w:r>
    </w:p>
    <w:p w14:paraId="2418E19F" w14:textId="77777777" w:rsidR="003360B6" w:rsidRPr="00C4538B" w:rsidRDefault="003360B6" w:rsidP="003360B6">
      <w:pPr>
        <w:pStyle w:val="Sarakstarindkopa"/>
        <w:numPr>
          <w:ilvl w:val="0"/>
          <w:numId w:val="3"/>
        </w:numPr>
        <w:tabs>
          <w:tab w:val="left" w:pos="1134"/>
        </w:tabs>
        <w:ind w:left="0" w:firstLine="780"/>
        <w:jc w:val="both"/>
      </w:pPr>
      <w:r w:rsidRPr="00C4538B">
        <w:rPr>
          <w:b/>
        </w:rPr>
        <w:t xml:space="preserve">drošības mērķu noteikšana – </w:t>
      </w:r>
      <w:r w:rsidRPr="00C4538B">
        <w:t>ir nepieciešams līdzsvars starp komerciju un drošību, ne vienmēr komercsabiedrībām drošība tiek noteikta kā prioritāte;</w:t>
      </w:r>
    </w:p>
    <w:p w14:paraId="69944B6E" w14:textId="77777777" w:rsidR="003360B6" w:rsidRPr="00C4538B" w:rsidRDefault="003360B6" w:rsidP="003360B6">
      <w:pPr>
        <w:pStyle w:val="Sarakstarindkopa"/>
        <w:numPr>
          <w:ilvl w:val="0"/>
          <w:numId w:val="3"/>
        </w:numPr>
        <w:tabs>
          <w:tab w:val="left" w:pos="1134"/>
        </w:tabs>
        <w:ind w:left="0" w:firstLine="780"/>
        <w:jc w:val="both"/>
      </w:pPr>
      <w:r w:rsidRPr="00C4538B">
        <w:rPr>
          <w:b/>
        </w:rPr>
        <w:t>vadības iesaistīšanās drošības procesos</w:t>
      </w:r>
      <w:r w:rsidRPr="00C4538B">
        <w:t xml:space="preserve"> – ir svarīgi, ka komersantu augstākā līmeņa vadītāji izprot drošības prasības dzelzceļa transportā un tās mērķtiecīgi ievieš;</w:t>
      </w:r>
    </w:p>
    <w:p w14:paraId="791E9D6A" w14:textId="77777777" w:rsidR="003360B6" w:rsidRPr="00C4538B" w:rsidRDefault="003360B6" w:rsidP="003360B6">
      <w:pPr>
        <w:pStyle w:val="Sarakstarindkopa"/>
        <w:numPr>
          <w:ilvl w:val="0"/>
          <w:numId w:val="3"/>
        </w:numPr>
        <w:tabs>
          <w:tab w:val="left" w:pos="1134"/>
        </w:tabs>
        <w:spacing w:after="120"/>
        <w:ind w:left="0" w:firstLine="782"/>
        <w:jc w:val="both"/>
      </w:pPr>
      <w:r w:rsidRPr="00C4538B">
        <w:rPr>
          <w:b/>
        </w:rPr>
        <w:t>pārvadājumu apjoms</w:t>
      </w:r>
      <w:r w:rsidRPr="00C4538B">
        <w:t xml:space="preserve">. </w:t>
      </w:r>
    </w:p>
    <w:p w14:paraId="2689DF46" w14:textId="77777777" w:rsidR="003360B6" w:rsidRPr="00C4538B" w:rsidRDefault="003360B6" w:rsidP="003360B6">
      <w:pPr>
        <w:spacing w:after="0" w:line="240" w:lineRule="auto"/>
        <w:ind w:firstLine="720"/>
        <w:jc w:val="both"/>
        <w:rPr>
          <w:rFonts w:ascii="Times New Roman" w:hAnsi="Times New Roman" w:cs="Times New Roman"/>
          <w:sz w:val="24"/>
          <w:szCs w:val="24"/>
        </w:rPr>
      </w:pPr>
      <w:r w:rsidRPr="00C4538B">
        <w:rPr>
          <w:rFonts w:ascii="Times New Roman" w:hAnsi="Times New Roman" w:cs="Times New Roman"/>
          <w:b/>
          <w:sz w:val="24"/>
          <w:szCs w:val="24"/>
        </w:rPr>
        <w:t>Laika apstākļi</w:t>
      </w:r>
      <w:r w:rsidRPr="00C4538B">
        <w:rPr>
          <w:rFonts w:ascii="Times New Roman" w:hAnsi="Times New Roman" w:cs="Times New Roman"/>
          <w:sz w:val="24"/>
          <w:szCs w:val="24"/>
        </w:rPr>
        <w:t xml:space="preserve"> arī ietekmē negadījumu statistisku:</w:t>
      </w:r>
    </w:p>
    <w:p w14:paraId="12474C56" w14:textId="77777777" w:rsidR="003360B6" w:rsidRPr="00C4538B" w:rsidRDefault="003360B6" w:rsidP="003360B6">
      <w:pPr>
        <w:pStyle w:val="Sarakstarindkopa"/>
        <w:numPr>
          <w:ilvl w:val="0"/>
          <w:numId w:val="3"/>
        </w:numPr>
        <w:tabs>
          <w:tab w:val="left" w:pos="1134"/>
        </w:tabs>
        <w:ind w:left="0" w:firstLine="851"/>
        <w:jc w:val="both"/>
      </w:pPr>
      <w:r w:rsidRPr="00C4538B">
        <w:rPr>
          <w:b/>
        </w:rPr>
        <w:t>gadalaiki</w:t>
      </w:r>
      <w:r w:rsidRPr="00C4538B">
        <w:t xml:space="preserve"> - kopumā statistikas dati parāda, ka ir problemātiskie mēneši,  kad visvairāk notiek nelaimes gadījumi ar cilvēkiem  -  februāris, jūnijs, septembris un decembris.  Vislielākais cietušo personu skaits ir decembrī, kas varētu būt saistāms ar tumšo diennakts laiku un Ziemassvētku ietekmi (depresija, vientulība). Savukārt februārī cietušo skaitu varētu raksturot ar sniega segu, kas Latvijā ir raksturīga tieši februārī. Sniegs ievērojami slāpē trokšņus un brīdinājuma signālus. Jūnijs ir saistāms ar skolēnu vasaras brīvlaika sākšanos, savukārt septembrī  - atgriešanās no atvaļinājumiem un skolas sākšanā raksturīga ar cilvēku steigu un neuzmanību par notiekošo apkārt. Vismazāk cietušo ir reģistrēti martā, aprīlī un oktobrī;</w:t>
      </w:r>
    </w:p>
    <w:p w14:paraId="544832CB" w14:textId="77777777" w:rsidR="003360B6" w:rsidRPr="00C4538B" w:rsidRDefault="003360B6" w:rsidP="003360B6">
      <w:pPr>
        <w:pStyle w:val="Sarakstarindkopa"/>
        <w:numPr>
          <w:ilvl w:val="0"/>
          <w:numId w:val="3"/>
        </w:numPr>
        <w:tabs>
          <w:tab w:val="left" w:pos="993"/>
        </w:tabs>
        <w:spacing w:before="120" w:after="120"/>
        <w:ind w:left="0" w:firstLine="780"/>
        <w:jc w:val="both"/>
      </w:pPr>
      <w:r w:rsidRPr="00C4538B">
        <w:rPr>
          <w:noProof/>
          <w:lang w:eastAsia="lv-LV"/>
        </w:rPr>
        <w:t xml:space="preserve"> </w:t>
      </w:r>
      <w:r w:rsidRPr="00C4538B">
        <w:rPr>
          <w:b/>
        </w:rPr>
        <w:t>diennakts periods</w:t>
      </w:r>
      <w:r w:rsidRPr="00C4538B">
        <w:t xml:space="preserve"> – visvairāk negadījumi tiek reģistrēti dienas otrajā pusē, kad iedzīvotāji dodas mājās no darba un ir tumšais diennakts periods, jo īpaši ziemas mēnešos. No plkst.18:00  līdz plkst. 24:00, ir reģistrēti 60% cietušo.  </w:t>
      </w:r>
    </w:p>
    <w:p w14:paraId="70D16E62" w14:textId="77777777" w:rsidR="003360B6" w:rsidRPr="00C4538B" w:rsidRDefault="003360B6" w:rsidP="003360B6">
      <w:pPr>
        <w:pStyle w:val="Sarakstarindkopa"/>
        <w:numPr>
          <w:ilvl w:val="0"/>
          <w:numId w:val="3"/>
        </w:numPr>
        <w:tabs>
          <w:tab w:val="left" w:pos="993"/>
        </w:tabs>
        <w:spacing w:before="120" w:after="120"/>
        <w:ind w:left="0" w:firstLine="780"/>
        <w:jc w:val="both"/>
        <w:rPr>
          <w:b/>
        </w:rPr>
      </w:pPr>
      <w:r w:rsidRPr="00C4538B">
        <w:rPr>
          <w:b/>
        </w:rPr>
        <w:t xml:space="preserve">temperatūra </w:t>
      </w:r>
      <w:r w:rsidRPr="00C4538B">
        <w:t xml:space="preserve">– lielas temperatūru svārstības rada risku infrastruktūras bojājumiem, arī ritošajam sastāvam. Lai mazinātu risku, regulāri jāveic infrastruktūras stāvokļa uzraudzība un kur nepieciešams, jāierobežo satiksmi vai kustības ātrumu. </w:t>
      </w:r>
    </w:p>
    <w:p w14:paraId="542A498C" w14:textId="1C0A1DF4" w:rsidR="003360B6" w:rsidRPr="00C4538B" w:rsidRDefault="003360B6" w:rsidP="002C7399">
      <w:pPr>
        <w:pStyle w:val="Pamatteksts"/>
        <w:tabs>
          <w:tab w:val="left" w:pos="709"/>
        </w:tabs>
        <w:jc w:val="both"/>
      </w:pPr>
      <w:r w:rsidRPr="00C4538B">
        <w:tab/>
        <w:t xml:space="preserve">Analizējot cietušo personu datus, vidējais rādītājs ir 55% negadījumi ar letālām sekām. 45% gadījumos personas gūst miesas bojājumus.  Cietušo skaits mēnesī variē līdz četriem cietušajiem.  Trīs cietušie mēnesī ir visbiežāk sastopamā vērtība (48,39%). avārija.  </w:t>
      </w:r>
    </w:p>
    <w:p w14:paraId="3A38A01C" w14:textId="17503234" w:rsidR="003360B6" w:rsidRDefault="003360B6" w:rsidP="003360B6">
      <w:pPr>
        <w:spacing w:before="120" w:after="120" w:line="240" w:lineRule="auto"/>
        <w:ind w:firstLine="720"/>
        <w:jc w:val="both"/>
        <w:rPr>
          <w:rFonts w:ascii="Times New Roman" w:hAnsi="Times New Roman" w:cs="Times New Roman"/>
          <w:sz w:val="24"/>
          <w:szCs w:val="24"/>
        </w:rPr>
      </w:pPr>
      <w:r w:rsidRPr="00C4538B">
        <w:rPr>
          <w:rFonts w:ascii="Times New Roman" w:hAnsi="Times New Roman" w:cs="Times New Roman"/>
          <w:sz w:val="24"/>
          <w:szCs w:val="24"/>
        </w:rPr>
        <w:t xml:space="preserve">Visvairāk negadījumi tiek reģistrēti ar pasažieru vilcieniem.  Līdzīgs sadalījums ir pa notikuma vietām – 50 % negadījumu reģistrēti stacijās un 49% notikuši ceļa posmos.  Vislielākais cietušo personu īpatsvars ir reģistrēts Rīgas aglomerācijas zonā, jo īpaši ceļa posmā </w:t>
      </w:r>
      <w:proofErr w:type="spellStart"/>
      <w:r w:rsidRPr="00C4538B">
        <w:rPr>
          <w:rFonts w:ascii="Times New Roman" w:hAnsi="Times New Roman" w:cs="Times New Roman"/>
          <w:sz w:val="24"/>
          <w:szCs w:val="24"/>
        </w:rPr>
        <w:t>Zasulauks</w:t>
      </w:r>
      <w:proofErr w:type="spellEnd"/>
      <w:r w:rsidRPr="00C4538B">
        <w:rPr>
          <w:rFonts w:ascii="Times New Roman" w:hAnsi="Times New Roman" w:cs="Times New Roman"/>
          <w:sz w:val="24"/>
          <w:szCs w:val="24"/>
        </w:rPr>
        <w:t xml:space="preserve">-Priedaine (piepilsētas satiksme) un maršrutā Rīga – Krustpils (21% no kopējā negadījumu skaita), kur ir augsta vilcienu kustības intensitāte. </w:t>
      </w:r>
    </w:p>
    <w:p w14:paraId="7AA2AFDB" w14:textId="5B0223A1" w:rsidR="002C7399" w:rsidRPr="00C4538B" w:rsidRDefault="002C7399" w:rsidP="003360B6">
      <w:pPr>
        <w:spacing w:before="120" w:after="12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Izvērtējot esošo situāciju, ir nepieciešamība izstrādāt drošības pasākumu plānu, kas veicinātu cietušo skaita samazināšanos. </w:t>
      </w:r>
    </w:p>
    <w:p w14:paraId="24574DCB" w14:textId="28BA4595" w:rsidR="005973C0" w:rsidRPr="00C4538B" w:rsidRDefault="005973C0">
      <w:pPr>
        <w:rPr>
          <w:rFonts w:ascii="Times New Roman" w:hAnsi="Times New Roman" w:cs="Times New Roman"/>
          <w:sz w:val="24"/>
          <w:szCs w:val="24"/>
        </w:rPr>
      </w:pPr>
    </w:p>
    <w:p w14:paraId="21C67181" w14:textId="77777777" w:rsidR="002C7399" w:rsidRDefault="002C7399" w:rsidP="002C7399">
      <w:pPr>
        <w:pStyle w:val="Sarakstarindkopa"/>
        <w:numPr>
          <w:ilvl w:val="0"/>
          <w:numId w:val="4"/>
        </w:numPr>
        <w:sectPr w:rsidR="002C7399" w:rsidSect="005973C0">
          <w:pgSz w:w="11906" w:h="16838"/>
          <w:pgMar w:top="1134" w:right="1134" w:bottom="1134" w:left="1134" w:header="709" w:footer="709" w:gutter="0"/>
          <w:cols w:space="708"/>
          <w:docGrid w:linePitch="360"/>
        </w:sectPr>
      </w:pPr>
    </w:p>
    <w:p w14:paraId="0D0C383A" w14:textId="35BDF4B4" w:rsidR="003360B6" w:rsidRPr="002C7399" w:rsidRDefault="002C7399" w:rsidP="002C7399">
      <w:pPr>
        <w:pStyle w:val="Sarakstarindkopa"/>
        <w:numPr>
          <w:ilvl w:val="0"/>
          <w:numId w:val="4"/>
        </w:numPr>
        <w:rPr>
          <w:b/>
          <w:bCs/>
        </w:rPr>
      </w:pPr>
      <w:r w:rsidRPr="002C7399">
        <w:rPr>
          <w:b/>
          <w:bCs/>
        </w:rPr>
        <w:lastRenderedPageBreak/>
        <w:t>Drošības pasākumu plāns cietušo skaita samazināšanai</w:t>
      </w:r>
    </w:p>
    <w:p w14:paraId="5656C191" w14:textId="2DF906BA" w:rsidR="008F1ACF" w:rsidRPr="00B34618" w:rsidRDefault="008F1ACF" w:rsidP="008F1ACF">
      <w:pPr>
        <w:ind w:left="360"/>
        <w:jc w:val="right"/>
        <w:rPr>
          <w:rFonts w:ascii="Times New Roman" w:hAnsi="Times New Roman" w:cs="Times New Roman"/>
          <w:b/>
        </w:rPr>
      </w:pPr>
      <w:r w:rsidRPr="00B34618">
        <w:rPr>
          <w:rFonts w:ascii="Times New Roman" w:hAnsi="Times New Roman" w:cs="Times New Roman"/>
          <w:b/>
          <w:sz w:val="20"/>
          <w:szCs w:val="20"/>
        </w:rPr>
        <w:t>2.tabula. Drošības pasākumu plāns</w:t>
      </w:r>
      <w:r w:rsidRPr="00B34618">
        <w:rPr>
          <w:rFonts w:ascii="Times New Roman" w:hAnsi="Times New Roman" w:cs="Times New Roman"/>
          <w:b/>
          <w:sz w:val="24"/>
          <w:szCs w:val="24"/>
        </w:rPr>
        <w:t xml:space="preserve"> </w:t>
      </w:r>
    </w:p>
    <w:tbl>
      <w:tblPr>
        <w:tblStyle w:val="Reatabula"/>
        <w:tblW w:w="14395" w:type="dxa"/>
        <w:tblLook w:val="04A0" w:firstRow="1" w:lastRow="0" w:firstColumn="1" w:lastColumn="0" w:noHBand="0" w:noVBand="1"/>
      </w:tblPr>
      <w:tblGrid>
        <w:gridCol w:w="1964"/>
        <w:gridCol w:w="1335"/>
        <w:gridCol w:w="4491"/>
        <w:gridCol w:w="1203"/>
        <w:gridCol w:w="2484"/>
        <w:gridCol w:w="1309"/>
        <w:gridCol w:w="1609"/>
      </w:tblGrid>
      <w:tr w:rsidR="005A2631" w:rsidRPr="00C4538B" w14:paraId="7B05ED4E" w14:textId="77777777" w:rsidTr="005A2631">
        <w:tc>
          <w:tcPr>
            <w:tcW w:w="1964" w:type="dxa"/>
          </w:tcPr>
          <w:p w14:paraId="76BB208F" w14:textId="77777777" w:rsidR="003360B6" w:rsidRPr="008F1ACF" w:rsidRDefault="003360B6" w:rsidP="0010315F">
            <w:pPr>
              <w:rPr>
                <w:rFonts w:ascii="Times New Roman" w:hAnsi="Times New Roman" w:cs="Times New Roman"/>
                <w:b/>
                <w:bCs/>
                <w:sz w:val="24"/>
                <w:szCs w:val="24"/>
              </w:rPr>
            </w:pPr>
            <w:r w:rsidRPr="008F1ACF">
              <w:rPr>
                <w:rFonts w:ascii="Times New Roman" w:hAnsi="Times New Roman" w:cs="Times New Roman"/>
                <w:b/>
                <w:bCs/>
                <w:sz w:val="24"/>
                <w:szCs w:val="24"/>
              </w:rPr>
              <w:t>Riska grupas</w:t>
            </w:r>
          </w:p>
        </w:tc>
        <w:tc>
          <w:tcPr>
            <w:tcW w:w="1335" w:type="dxa"/>
          </w:tcPr>
          <w:p w14:paraId="03DD14AD" w14:textId="77777777" w:rsidR="003360B6" w:rsidRPr="008F1ACF" w:rsidRDefault="003360B6" w:rsidP="0010315F">
            <w:pPr>
              <w:rPr>
                <w:rFonts w:ascii="Times New Roman" w:hAnsi="Times New Roman" w:cs="Times New Roman"/>
                <w:b/>
                <w:bCs/>
                <w:sz w:val="24"/>
                <w:szCs w:val="24"/>
              </w:rPr>
            </w:pPr>
            <w:r w:rsidRPr="008F1ACF">
              <w:rPr>
                <w:rFonts w:ascii="Times New Roman" w:hAnsi="Times New Roman" w:cs="Times New Roman"/>
                <w:b/>
                <w:bCs/>
                <w:sz w:val="24"/>
                <w:szCs w:val="24"/>
              </w:rPr>
              <w:t>Risks</w:t>
            </w:r>
          </w:p>
        </w:tc>
        <w:tc>
          <w:tcPr>
            <w:tcW w:w="4491" w:type="dxa"/>
          </w:tcPr>
          <w:p w14:paraId="536ED4BD" w14:textId="77777777" w:rsidR="003360B6" w:rsidRPr="008F1ACF" w:rsidRDefault="003360B6" w:rsidP="0010315F">
            <w:pPr>
              <w:rPr>
                <w:rFonts w:ascii="Times New Roman" w:hAnsi="Times New Roman" w:cs="Times New Roman"/>
                <w:b/>
                <w:bCs/>
                <w:sz w:val="24"/>
                <w:szCs w:val="24"/>
              </w:rPr>
            </w:pPr>
            <w:r w:rsidRPr="008F1ACF">
              <w:rPr>
                <w:rFonts w:ascii="Times New Roman" w:hAnsi="Times New Roman" w:cs="Times New Roman"/>
                <w:b/>
                <w:bCs/>
                <w:sz w:val="24"/>
                <w:szCs w:val="24"/>
              </w:rPr>
              <w:t>Plānojamie pasākumi</w:t>
            </w:r>
          </w:p>
        </w:tc>
        <w:tc>
          <w:tcPr>
            <w:tcW w:w="1203" w:type="dxa"/>
          </w:tcPr>
          <w:p w14:paraId="5DE430B9" w14:textId="1B1856A5" w:rsidR="003360B6" w:rsidRPr="008F1ACF" w:rsidRDefault="00D27E7D" w:rsidP="0010315F">
            <w:pPr>
              <w:rPr>
                <w:rFonts w:ascii="Times New Roman" w:hAnsi="Times New Roman" w:cs="Times New Roman"/>
                <w:b/>
                <w:bCs/>
                <w:sz w:val="24"/>
                <w:szCs w:val="24"/>
              </w:rPr>
            </w:pPr>
            <w:r>
              <w:rPr>
                <w:rFonts w:ascii="Times New Roman" w:hAnsi="Times New Roman" w:cs="Times New Roman"/>
                <w:b/>
                <w:bCs/>
                <w:sz w:val="24"/>
                <w:szCs w:val="24"/>
              </w:rPr>
              <w:t>Plānotais rādītājs</w:t>
            </w:r>
          </w:p>
        </w:tc>
        <w:tc>
          <w:tcPr>
            <w:tcW w:w="2484" w:type="dxa"/>
          </w:tcPr>
          <w:p w14:paraId="162E0FC9" w14:textId="77777777" w:rsidR="003360B6" w:rsidRPr="008F1ACF" w:rsidRDefault="003360B6" w:rsidP="0010315F">
            <w:pPr>
              <w:rPr>
                <w:rFonts w:ascii="Times New Roman" w:hAnsi="Times New Roman" w:cs="Times New Roman"/>
                <w:b/>
                <w:bCs/>
                <w:sz w:val="24"/>
                <w:szCs w:val="24"/>
              </w:rPr>
            </w:pPr>
            <w:r w:rsidRPr="008F1ACF">
              <w:rPr>
                <w:rFonts w:ascii="Times New Roman" w:hAnsi="Times New Roman" w:cs="Times New Roman"/>
                <w:b/>
                <w:bCs/>
                <w:sz w:val="24"/>
                <w:szCs w:val="24"/>
              </w:rPr>
              <w:t>Atbildīgā puse</w:t>
            </w:r>
          </w:p>
        </w:tc>
        <w:tc>
          <w:tcPr>
            <w:tcW w:w="1309" w:type="dxa"/>
          </w:tcPr>
          <w:p w14:paraId="00205F0D" w14:textId="77777777" w:rsidR="003360B6" w:rsidRPr="008F1ACF" w:rsidRDefault="003360B6" w:rsidP="0010315F">
            <w:pPr>
              <w:rPr>
                <w:rFonts w:ascii="Times New Roman" w:hAnsi="Times New Roman" w:cs="Times New Roman"/>
                <w:b/>
                <w:bCs/>
                <w:sz w:val="24"/>
                <w:szCs w:val="24"/>
              </w:rPr>
            </w:pPr>
            <w:r w:rsidRPr="008F1ACF">
              <w:rPr>
                <w:rFonts w:ascii="Times New Roman" w:hAnsi="Times New Roman" w:cs="Times New Roman"/>
                <w:b/>
                <w:bCs/>
                <w:sz w:val="24"/>
                <w:szCs w:val="24"/>
              </w:rPr>
              <w:t>Prioritāte</w:t>
            </w:r>
          </w:p>
        </w:tc>
        <w:tc>
          <w:tcPr>
            <w:tcW w:w="1609" w:type="dxa"/>
          </w:tcPr>
          <w:p w14:paraId="74EB1EB5" w14:textId="77777777" w:rsidR="003360B6" w:rsidRPr="008F1ACF" w:rsidRDefault="003360B6" w:rsidP="0010315F">
            <w:pPr>
              <w:rPr>
                <w:rFonts w:ascii="Times New Roman" w:hAnsi="Times New Roman" w:cs="Times New Roman"/>
                <w:b/>
                <w:bCs/>
                <w:sz w:val="24"/>
                <w:szCs w:val="24"/>
              </w:rPr>
            </w:pPr>
            <w:r w:rsidRPr="008F1ACF">
              <w:rPr>
                <w:rFonts w:ascii="Times New Roman" w:hAnsi="Times New Roman" w:cs="Times New Roman"/>
                <w:b/>
                <w:bCs/>
                <w:sz w:val="24"/>
                <w:szCs w:val="24"/>
              </w:rPr>
              <w:t>Ieviešanas datums</w:t>
            </w:r>
          </w:p>
        </w:tc>
      </w:tr>
      <w:tr w:rsidR="00D27E7D" w:rsidRPr="00C4538B" w14:paraId="167B596A" w14:textId="77777777" w:rsidTr="002236F7">
        <w:tc>
          <w:tcPr>
            <w:tcW w:w="1964" w:type="dxa"/>
            <w:vAlign w:val="center"/>
          </w:tcPr>
          <w:p w14:paraId="2D6DB29D" w14:textId="77777777" w:rsidR="00D27E7D" w:rsidRPr="00032913" w:rsidRDefault="00D27E7D" w:rsidP="002236F7">
            <w:pPr>
              <w:rPr>
                <w:rFonts w:ascii="Times New Roman" w:hAnsi="Times New Roman" w:cs="Times New Roman"/>
                <w:b/>
                <w:bCs/>
                <w:sz w:val="24"/>
                <w:szCs w:val="24"/>
              </w:rPr>
            </w:pPr>
            <w:r w:rsidRPr="00032913">
              <w:rPr>
                <w:rFonts w:ascii="Times New Roman" w:hAnsi="Times New Roman" w:cs="Times New Roman"/>
                <w:b/>
                <w:bCs/>
                <w:sz w:val="24"/>
                <w:szCs w:val="24"/>
              </w:rPr>
              <w:t>Pasažieris</w:t>
            </w:r>
          </w:p>
        </w:tc>
        <w:tc>
          <w:tcPr>
            <w:tcW w:w="1335" w:type="dxa"/>
            <w:vAlign w:val="center"/>
          </w:tcPr>
          <w:p w14:paraId="6469EC74" w14:textId="77777777"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Zems</w:t>
            </w:r>
          </w:p>
        </w:tc>
        <w:tc>
          <w:tcPr>
            <w:tcW w:w="4491" w:type="dxa"/>
          </w:tcPr>
          <w:p w14:paraId="4EA0F98D" w14:textId="67E39FE3" w:rsidR="00D27E7D" w:rsidRPr="00C4538B" w:rsidRDefault="00D27E7D" w:rsidP="00D27E7D">
            <w:pPr>
              <w:rPr>
                <w:rFonts w:ascii="Times New Roman" w:hAnsi="Times New Roman" w:cs="Times New Roman"/>
                <w:sz w:val="24"/>
                <w:szCs w:val="24"/>
              </w:rPr>
            </w:pPr>
            <w:r>
              <w:rPr>
                <w:rFonts w:ascii="Times New Roman" w:hAnsi="Times New Roman" w:cs="Times New Roman"/>
                <w:sz w:val="24"/>
                <w:szCs w:val="24"/>
              </w:rPr>
              <w:t>Informācijas kampaņa vilcienos par drošības pasākumiem</w:t>
            </w:r>
          </w:p>
        </w:tc>
        <w:tc>
          <w:tcPr>
            <w:tcW w:w="1203" w:type="dxa"/>
            <w:vAlign w:val="center"/>
          </w:tcPr>
          <w:p w14:paraId="10928725" w14:textId="214F5D6D" w:rsidR="00D27E7D" w:rsidRPr="00C4538B" w:rsidRDefault="00D27E7D" w:rsidP="002236F7">
            <w:pPr>
              <w:rPr>
                <w:rFonts w:ascii="Times New Roman" w:hAnsi="Times New Roman" w:cs="Times New Roman"/>
                <w:sz w:val="24"/>
                <w:szCs w:val="24"/>
              </w:rPr>
            </w:pPr>
            <w:r>
              <w:rPr>
                <w:rFonts w:ascii="Times New Roman" w:hAnsi="Times New Roman" w:cs="Times New Roman"/>
                <w:sz w:val="24"/>
                <w:szCs w:val="24"/>
              </w:rPr>
              <w:t>datums</w:t>
            </w:r>
          </w:p>
        </w:tc>
        <w:tc>
          <w:tcPr>
            <w:tcW w:w="2484" w:type="dxa"/>
            <w:vAlign w:val="center"/>
          </w:tcPr>
          <w:p w14:paraId="60573FA6" w14:textId="03637C4F"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A/s “Pasažieru vilciens”</w:t>
            </w:r>
          </w:p>
        </w:tc>
        <w:tc>
          <w:tcPr>
            <w:tcW w:w="1309" w:type="dxa"/>
            <w:vAlign w:val="center"/>
          </w:tcPr>
          <w:p w14:paraId="0E31BFC4" w14:textId="3E296D3C"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V</w:t>
            </w:r>
            <w:r w:rsidR="00D27E7D" w:rsidRPr="00C4538B">
              <w:rPr>
                <w:rFonts w:ascii="Times New Roman" w:hAnsi="Times New Roman" w:cs="Times New Roman"/>
                <w:sz w:val="24"/>
                <w:szCs w:val="24"/>
              </w:rPr>
              <w:t>idēja</w:t>
            </w:r>
          </w:p>
        </w:tc>
        <w:tc>
          <w:tcPr>
            <w:tcW w:w="1609" w:type="dxa"/>
            <w:vAlign w:val="center"/>
          </w:tcPr>
          <w:p w14:paraId="25966A5E" w14:textId="09226782" w:rsidR="00D27E7D" w:rsidRPr="002236F7" w:rsidRDefault="00D27E7D" w:rsidP="002236F7">
            <w:pPr>
              <w:rPr>
                <w:rFonts w:ascii="Times New Roman" w:hAnsi="Times New Roman" w:cs="Times New Roman"/>
                <w:b/>
                <w:bCs/>
                <w:sz w:val="24"/>
                <w:szCs w:val="24"/>
              </w:rPr>
            </w:pPr>
            <w:r w:rsidRPr="002236F7">
              <w:rPr>
                <w:rFonts w:ascii="Times New Roman" w:hAnsi="Times New Roman" w:cs="Times New Roman"/>
                <w:b/>
                <w:bCs/>
                <w:sz w:val="24"/>
                <w:szCs w:val="24"/>
              </w:rPr>
              <w:t>0</w:t>
            </w:r>
            <w:r w:rsidR="00CB6BE2">
              <w:rPr>
                <w:rFonts w:ascii="Times New Roman" w:hAnsi="Times New Roman" w:cs="Times New Roman"/>
                <w:b/>
                <w:bCs/>
                <w:sz w:val="24"/>
                <w:szCs w:val="24"/>
              </w:rPr>
              <w:t>2</w:t>
            </w:r>
            <w:r w:rsidRPr="002236F7">
              <w:rPr>
                <w:rFonts w:ascii="Times New Roman" w:hAnsi="Times New Roman" w:cs="Times New Roman"/>
                <w:b/>
                <w:bCs/>
                <w:sz w:val="24"/>
                <w:szCs w:val="24"/>
              </w:rPr>
              <w:t>.07.2021</w:t>
            </w:r>
            <w:r w:rsidR="00032913" w:rsidRPr="002236F7">
              <w:rPr>
                <w:rFonts w:ascii="Times New Roman" w:hAnsi="Times New Roman" w:cs="Times New Roman"/>
                <w:b/>
                <w:bCs/>
                <w:sz w:val="24"/>
                <w:szCs w:val="24"/>
              </w:rPr>
              <w:t>.</w:t>
            </w:r>
          </w:p>
        </w:tc>
      </w:tr>
      <w:tr w:rsidR="00D27E7D" w:rsidRPr="00C4538B" w14:paraId="46C97EDA" w14:textId="77777777" w:rsidTr="002236F7">
        <w:tc>
          <w:tcPr>
            <w:tcW w:w="1964" w:type="dxa"/>
            <w:vAlign w:val="center"/>
          </w:tcPr>
          <w:p w14:paraId="1521F301" w14:textId="77777777" w:rsidR="00D27E7D" w:rsidRPr="00032913" w:rsidRDefault="00D27E7D" w:rsidP="002236F7">
            <w:pPr>
              <w:rPr>
                <w:rFonts w:ascii="Times New Roman" w:hAnsi="Times New Roman" w:cs="Times New Roman"/>
                <w:b/>
                <w:bCs/>
                <w:sz w:val="24"/>
                <w:szCs w:val="24"/>
              </w:rPr>
            </w:pPr>
            <w:r w:rsidRPr="00032913">
              <w:rPr>
                <w:rFonts w:ascii="Times New Roman" w:hAnsi="Times New Roman" w:cs="Times New Roman"/>
                <w:b/>
                <w:bCs/>
                <w:sz w:val="24"/>
                <w:szCs w:val="24"/>
              </w:rPr>
              <w:t>Nodarbinātais</w:t>
            </w:r>
          </w:p>
        </w:tc>
        <w:tc>
          <w:tcPr>
            <w:tcW w:w="1335" w:type="dxa"/>
            <w:vAlign w:val="center"/>
          </w:tcPr>
          <w:p w14:paraId="52742961" w14:textId="77777777"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Augsts</w:t>
            </w:r>
          </w:p>
        </w:tc>
        <w:tc>
          <w:tcPr>
            <w:tcW w:w="4491" w:type="dxa"/>
          </w:tcPr>
          <w:p w14:paraId="4D645B09" w14:textId="2CC23806" w:rsidR="00D27E7D" w:rsidRPr="00C4538B" w:rsidRDefault="00032913" w:rsidP="00D27E7D">
            <w:pPr>
              <w:rPr>
                <w:rFonts w:ascii="Times New Roman" w:hAnsi="Times New Roman" w:cs="Times New Roman"/>
                <w:sz w:val="24"/>
                <w:szCs w:val="24"/>
              </w:rPr>
            </w:pPr>
            <w:r>
              <w:rPr>
                <w:rFonts w:ascii="Times New Roman" w:hAnsi="Times New Roman" w:cs="Times New Roman"/>
                <w:sz w:val="24"/>
                <w:szCs w:val="24"/>
              </w:rPr>
              <w:t xml:space="preserve">Valsts dzelzceļa tehniskās inspekcijas </w:t>
            </w:r>
            <w:r w:rsidR="001918C2">
              <w:rPr>
                <w:rFonts w:ascii="Times New Roman" w:hAnsi="Times New Roman" w:cs="Times New Roman"/>
                <w:sz w:val="24"/>
                <w:szCs w:val="24"/>
              </w:rPr>
              <w:t>analīze</w:t>
            </w:r>
            <w:r>
              <w:rPr>
                <w:rFonts w:ascii="Times New Roman" w:hAnsi="Times New Roman" w:cs="Times New Roman"/>
                <w:sz w:val="24"/>
                <w:szCs w:val="24"/>
              </w:rPr>
              <w:t xml:space="preserve"> par pārvadātāju un publiskās lietošanas dzelzceļa infrastruktūras pārvaldītāja pasākumiem cilvēkfaktora mazināšanai</w:t>
            </w:r>
          </w:p>
        </w:tc>
        <w:tc>
          <w:tcPr>
            <w:tcW w:w="1203" w:type="dxa"/>
            <w:vAlign w:val="center"/>
          </w:tcPr>
          <w:p w14:paraId="1E053838" w14:textId="2266244A"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datums</w:t>
            </w:r>
          </w:p>
        </w:tc>
        <w:tc>
          <w:tcPr>
            <w:tcW w:w="2484" w:type="dxa"/>
            <w:vAlign w:val="center"/>
          </w:tcPr>
          <w:p w14:paraId="494A8EEA" w14:textId="70761242"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Valsts dzelzceļa tehniskā inspekcija</w:t>
            </w:r>
          </w:p>
        </w:tc>
        <w:tc>
          <w:tcPr>
            <w:tcW w:w="1309" w:type="dxa"/>
            <w:vAlign w:val="center"/>
          </w:tcPr>
          <w:p w14:paraId="4C59874A" w14:textId="34C95EB4"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Augsta</w:t>
            </w:r>
          </w:p>
        </w:tc>
        <w:tc>
          <w:tcPr>
            <w:tcW w:w="1609" w:type="dxa"/>
            <w:vAlign w:val="center"/>
          </w:tcPr>
          <w:p w14:paraId="21A80B62" w14:textId="0F05A000" w:rsidR="00D27E7D" w:rsidRPr="002236F7" w:rsidRDefault="001918C2" w:rsidP="002236F7">
            <w:pPr>
              <w:rPr>
                <w:rFonts w:ascii="Times New Roman" w:hAnsi="Times New Roman" w:cs="Times New Roman"/>
                <w:b/>
                <w:bCs/>
                <w:sz w:val="24"/>
                <w:szCs w:val="24"/>
              </w:rPr>
            </w:pPr>
            <w:r>
              <w:rPr>
                <w:rFonts w:ascii="Times New Roman" w:hAnsi="Times New Roman" w:cs="Times New Roman"/>
                <w:b/>
                <w:bCs/>
                <w:sz w:val="24"/>
                <w:szCs w:val="24"/>
              </w:rPr>
              <w:t>31.12.202</w:t>
            </w:r>
            <w:r w:rsidR="00032913" w:rsidRPr="002236F7">
              <w:rPr>
                <w:rFonts w:ascii="Times New Roman" w:hAnsi="Times New Roman" w:cs="Times New Roman"/>
                <w:b/>
                <w:bCs/>
                <w:sz w:val="24"/>
                <w:szCs w:val="24"/>
              </w:rPr>
              <w:t>1.</w:t>
            </w:r>
          </w:p>
        </w:tc>
      </w:tr>
      <w:tr w:rsidR="00D27E7D" w:rsidRPr="00C4538B" w14:paraId="6DBF055E" w14:textId="77777777" w:rsidTr="002236F7">
        <w:tc>
          <w:tcPr>
            <w:tcW w:w="1964" w:type="dxa"/>
            <w:vAlign w:val="center"/>
          </w:tcPr>
          <w:p w14:paraId="3B143947" w14:textId="77777777" w:rsidR="00D27E7D" w:rsidRPr="00032913" w:rsidRDefault="00D27E7D" w:rsidP="002236F7">
            <w:pPr>
              <w:rPr>
                <w:rFonts w:ascii="Times New Roman" w:hAnsi="Times New Roman" w:cs="Times New Roman"/>
                <w:b/>
                <w:bCs/>
                <w:sz w:val="24"/>
                <w:szCs w:val="24"/>
              </w:rPr>
            </w:pPr>
            <w:r w:rsidRPr="00032913">
              <w:rPr>
                <w:rFonts w:ascii="Times New Roman" w:hAnsi="Times New Roman" w:cs="Times New Roman"/>
                <w:b/>
                <w:bCs/>
                <w:sz w:val="24"/>
                <w:szCs w:val="24"/>
              </w:rPr>
              <w:t>Pārbrauktuves lietotājs</w:t>
            </w:r>
          </w:p>
        </w:tc>
        <w:tc>
          <w:tcPr>
            <w:tcW w:w="1335" w:type="dxa"/>
            <w:vAlign w:val="center"/>
          </w:tcPr>
          <w:p w14:paraId="11E62898" w14:textId="77777777"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Vidējs</w:t>
            </w:r>
          </w:p>
        </w:tc>
        <w:tc>
          <w:tcPr>
            <w:tcW w:w="4491" w:type="dxa"/>
          </w:tcPr>
          <w:p w14:paraId="45B013DA" w14:textId="3DBD9853" w:rsidR="00D27E7D" w:rsidRPr="00C4538B" w:rsidRDefault="00647A83" w:rsidP="00D27E7D">
            <w:pPr>
              <w:rPr>
                <w:rFonts w:ascii="Times New Roman" w:hAnsi="Times New Roman" w:cs="Times New Roman"/>
                <w:sz w:val="24"/>
                <w:szCs w:val="24"/>
              </w:rPr>
            </w:pPr>
            <w:r>
              <w:rPr>
                <w:rFonts w:ascii="Times New Roman" w:hAnsi="Times New Roman" w:cs="Times New Roman"/>
                <w:sz w:val="24"/>
                <w:szCs w:val="24"/>
              </w:rPr>
              <w:t>D</w:t>
            </w:r>
            <w:r w:rsidR="00D27E7D" w:rsidRPr="00C4538B">
              <w:rPr>
                <w:rFonts w:ascii="Times New Roman" w:hAnsi="Times New Roman" w:cs="Times New Roman"/>
                <w:sz w:val="24"/>
                <w:szCs w:val="24"/>
              </w:rPr>
              <w:t>zelzceļa pārbrauktuvju aprīkošana  ar automātiskajām aizsargbarjerām un videonovērošanas sistēmām</w:t>
            </w:r>
          </w:p>
        </w:tc>
        <w:tc>
          <w:tcPr>
            <w:tcW w:w="1203" w:type="dxa"/>
            <w:vAlign w:val="center"/>
          </w:tcPr>
          <w:p w14:paraId="0EF67AB9" w14:textId="7907CCD6"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skaits</w:t>
            </w:r>
          </w:p>
        </w:tc>
        <w:tc>
          <w:tcPr>
            <w:tcW w:w="2484" w:type="dxa"/>
            <w:vAlign w:val="center"/>
          </w:tcPr>
          <w:p w14:paraId="20CECD99" w14:textId="77777777"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VAS “Latvijas dzelzceļš”</w:t>
            </w:r>
          </w:p>
        </w:tc>
        <w:tc>
          <w:tcPr>
            <w:tcW w:w="1309" w:type="dxa"/>
            <w:vAlign w:val="center"/>
          </w:tcPr>
          <w:p w14:paraId="38B21783" w14:textId="5693CC0C"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Vidēja</w:t>
            </w:r>
          </w:p>
        </w:tc>
        <w:tc>
          <w:tcPr>
            <w:tcW w:w="1609" w:type="dxa"/>
            <w:vAlign w:val="center"/>
          </w:tcPr>
          <w:p w14:paraId="233CC785" w14:textId="08236772" w:rsidR="00D27E7D"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31.12.2021.</w:t>
            </w:r>
          </w:p>
        </w:tc>
      </w:tr>
      <w:tr w:rsidR="00D27E7D" w:rsidRPr="00C4538B" w14:paraId="0EED3B9F" w14:textId="77777777" w:rsidTr="00647A83">
        <w:trPr>
          <w:trHeight w:val="556"/>
        </w:trPr>
        <w:tc>
          <w:tcPr>
            <w:tcW w:w="1964" w:type="dxa"/>
            <w:vAlign w:val="center"/>
          </w:tcPr>
          <w:p w14:paraId="543DCF00" w14:textId="77777777" w:rsidR="00D27E7D" w:rsidRPr="00032913" w:rsidRDefault="00D27E7D" w:rsidP="002236F7">
            <w:pPr>
              <w:rPr>
                <w:rFonts w:ascii="Times New Roman" w:hAnsi="Times New Roman" w:cs="Times New Roman"/>
                <w:b/>
                <w:bCs/>
                <w:sz w:val="24"/>
                <w:szCs w:val="24"/>
              </w:rPr>
            </w:pPr>
            <w:r w:rsidRPr="00032913">
              <w:rPr>
                <w:rFonts w:ascii="Times New Roman" w:hAnsi="Times New Roman" w:cs="Times New Roman"/>
                <w:b/>
                <w:bCs/>
                <w:sz w:val="24"/>
                <w:szCs w:val="24"/>
              </w:rPr>
              <w:t>Noteikumu pārkāpējs</w:t>
            </w:r>
          </w:p>
        </w:tc>
        <w:tc>
          <w:tcPr>
            <w:tcW w:w="1335" w:type="dxa"/>
            <w:vAlign w:val="center"/>
          </w:tcPr>
          <w:p w14:paraId="623B038C" w14:textId="0B5D3B01" w:rsidR="00D27E7D" w:rsidRPr="00C4538B" w:rsidRDefault="00647A83" w:rsidP="002236F7">
            <w:pPr>
              <w:rPr>
                <w:rFonts w:ascii="Times New Roman" w:hAnsi="Times New Roman" w:cs="Times New Roman"/>
                <w:sz w:val="24"/>
                <w:szCs w:val="24"/>
              </w:rPr>
            </w:pPr>
            <w:r>
              <w:rPr>
                <w:rFonts w:ascii="Times New Roman" w:hAnsi="Times New Roman" w:cs="Times New Roman"/>
                <w:sz w:val="24"/>
                <w:szCs w:val="24"/>
              </w:rPr>
              <w:t>Vidējs</w:t>
            </w:r>
          </w:p>
        </w:tc>
        <w:tc>
          <w:tcPr>
            <w:tcW w:w="4491" w:type="dxa"/>
          </w:tcPr>
          <w:p w14:paraId="0D03F5D1" w14:textId="2E29C19C" w:rsidR="00D27E7D" w:rsidRPr="00C4538B" w:rsidRDefault="00647A83" w:rsidP="00D27E7D">
            <w:pPr>
              <w:rPr>
                <w:rFonts w:ascii="Times New Roman" w:hAnsi="Times New Roman" w:cs="Times New Roman"/>
                <w:sz w:val="24"/>
                <w:szCs w:val="24"/>
              </w:rPr>
            </w:pPr>
            <w:r>
              <w:rPr>
                <w:rFonts w:ascii="Times New Roman" w:hAnsi="Times New Roman" w:cs="Times New Roman"/>
                <w:sz w:val="24"/>
                <w:szCs w:val="24"/>
              </w:rPr>
              <w:t>D</w:t>
            </w:r>
            <w:r w:rsidR="00D27E7D" w:rsidRPr="00C4538B">
              <w:rPr>
                <w:rFonts w:ascii="Times New Roman" w:hAnsi="Times New Roman" w:cs="Times New Roman"/>
                <w:sz w:val="24"/>
                <w:szCs w:val="24"/>
              </w:rPr>
              <w:t>rošības kampaņas</w:t>
            </w:r>
            <w:r>
              <w:rPr>
                <w:rFonts w:ascii="Times New Roman" w:hAnsi="Times New Roman" w:cs="Times New Roman"/>
                <w:sz w:val="24"/>
                <w:szCs w:val="24"/>
              </w:rPr>
              <w:t>,</w:t>
            </w:r>
          </w:p>
          <w:p w14:paraId="6BFA123D" w14:textId="77777777" w:rsidR="00D27E7D" w:rsidRPr="00C4538B" w:rsidRDefault="00D27E7D" w:rsidP="00D27E7D">
            <w:pPr>
              <w:rPr>
                <w:rFonts w:ascii="Times New Roman" w:hAnsi="Times New Roman" w:cs="Times New Roman"/>
                <w:sz w:val="24"/>
                <w:szCs w:val="24"/>
              </w:rPr>
            </w:pPr>
            <w:r w:rsidRPr="00C4538B">
              <w:rPr>
                <w:rFonts w:ascii="Times New Roman" w:hAnsi="Times New Roman" w:cs="Times New Roman"/>
                <w:sz w:val="24"/>
                <w:szCs w:val="24"/>
              </w:rPr>
              <w:t>drošības stundas skolās</w:t>
            </w:r>
          </w:p>
        </w:tc>
        <w:tc>
          <w:tcPr>
            <w:tcW w:w="1203" w:type="dxa"/>
            <w:vAlign w:val="center"/>
          </w:tcPr>
          <w:p w14:paraId="739A9AA7" w14:textId="74040C21"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kampaņu skaits</w:t>
            </w:r>
          </w:p>
        </w:tc>
        <w:tc>
          <w:tcPr>
            <w:tcW w:w="2484" w:type="dxa"/>
            <w:vAlign w:val="center"/>
          </w:tcPr>
          <w:p w14:paraId="0D2BF979" w14:textId="77777777"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VAS “Latvijas dzelzceļš”</w:t>
            </w:r>
          </w:p>
        </w:tc>
        <w:tc>
          <w:tcPr>
            <w:tcW w:w="1309" w:type="dxa"/>
            <w:vAlign w:val="center"/>
          </w:tcPr>
          <w:p w14:paraId="6B0E53B9" w14:textId="17763280"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Vidēja</w:t>
            </w:r>
          </w:p>
        </w:tc>
        <w:tc>
          <w:tcPr>
            <w:tcW w:w="1609" w:type="dxa"/>
            <w:vAlign w:val="center"/>
          </w:tcPr>
          <w:p w14:paraId="1FAEC5F6" w14:textId="26CF288C" w:rsidR="00D27E7D"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Pastāvīgi</w:t>
            </w:r>
          </w:p>
        </w:tc>
      </w:tr>
      <w:tr w:rsidR="00D27E7D" w:rsidRPr="00C4538B" w14:paraId="0EAAF798" w14:textId="77777777" w:rsidTr="002236F7">
        <w:tc>
          <w:tcPr>
            <w:tcW w:w="1964" w:type="dxa"/>
            <w:vMerge w:val="restart"/>
            <w:vAlign w:val="center"/>
          </w:tcPr>
          <w:p w14:paraId="3E1500A7" w14:textId="77777777" w:rsidR="00D27E7D" w:rsidRPr="00032913" w:rsidRDefault="00D27E7D" w:rsidP="002236F7">
            <w:pPr>
              <w:rPr>
                <w:rFonts w:ascii="Times New Roman" w:hAnsi="Times New Roman" w:cs="Times New Roman"/>
                <w:b/>
                <w:bCs/>
                <w:sz w:val="24"/>
                <w:szCs w:val="24"/>
              </w:rPr>
            </w:pPr>
            <w:r w:rsidRPr="00032913">
              <w:rPr>
                <w:rFonts w:ascii="Times New Roman" w:hAnsi="Times New Roman" w:cs="Times New Roman"/>
                <w:b/>
                <w:bCs/>
                <w:sz w:val="24"/>
                <w:szCs w:val="24"/>
              </w:rPr>
              <w:t>Citas personas</w:t>
            </w:r>
          </w:p>
        </w:tc>
        <w:tc>
          <w:tcPr>
            <w:tcW w:w="1335" w:type="dxa"/>
            <w:vMerge w:val="restart"/>
            <w:vAlign w:val="center"/>
          </w:tcPr>
          <w:p w14:paraId="46C6E1DB" w14:textId="77777777"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Ļoti augsts</w:t>
            </w:r>
          </w:p>
        </w:tc>
        <w:tc>
          <w:tcPr>
            <w:tcW w:w="4491" w:type="dxa"/>
          </w:tcPr>
          <w:p w14:paraId="56D36A92" w14:textId="1DD8A5E2" w:rsidR="00D27E7D" w:rsidRPr="00C4538B" w:rsidRDefault="00647A83" w:rsidP="00D27E7D">
            <w:pPr>
              <w:rPr>
                <w:rFonts w:ascii="Times New Roman" w:hAnsi="Times New Roman" w:cs="Times New Roman"/>
                <w:sz w:val="24"/>
                <w:szCs w:val="24"/>
              </w:rPr>
            </w:pPr>
            <w:proofErr w:type="spellStart"/>
            <w:r>
              <w:rPr>
                <w:rFonts w:ascii="Times New Roman" w:hAnsi="Times New Roman" w:cs="Times New Roman"/>
                <w:sz w:val="24"/>
                <w:szCs w:val="24"/>
              </w:rPr>
              <w:t>D</w:t>
            </w:r>
            <w:r w:rsidR="00D27E7D" w:rsidRPr="00C4538B">
              <w:rPr>
                <w:rFonts w:ascii="Times New Roman" w:hAnsi="Times New Roman" w:cs="Times New Roman"/>
                <w:sz w:val="24"/>
                <w:szCs w:val="24"/>
              </w:rPr>
              <w:t>ivlīmeņu</w:t>
            </w:r>
            <w:proofErr w:type="spellEnd"/>
            <w:r w:rsidR="00D27E7D" w:rsidRPr="00C4538B">
              <w:rPr>
                <w:rFonts w:ascii="Times New Roman" w:hAnsi="Times New Roman" w:cs="Times New Roman"/>
                <w:sz w:val="24"/>
                <w:szCs w:val="24"/>
              </w:rPr>
              <w:t xml:space="preserve"> gājēju šķērsojumu izbūve</w:t>
            </w:r>
          </w:p>
        </w:tc>
        <w:tc>
          <w:tcPr>
            <w:tcW w:w="1203" w:type="dxa"/>
            <w:vAlign w:val="center"/>
          </w:tcPr>
          <w:p w14:paraId="389BCC93" w14:textId="3F4CFEDC" w:rsidR="00032913" w:rsidRDefault="00032913" w:rsidP="002236F7">
            <w:pPr>
              <w:rPr>
                <w:rFonts w:ascii="Times New Roman" w:hAnsi="Times New Roman" w:cs="Times New Roman"/>
                <w:sz w:val="24"/>
                <w:szCs w:val="24"/>
              </w:rPr>
            </w:pPr>
            <w:r>
              <w:rPr>
                <w:rFonts w:ascii="Times New Roman" w:hAnsi="Times New Roman" w:cs="Times New Roman"/>
                <w:sz w:val="24"/>
                <w:szCs w:val="24"/>
              </w:rPr>
              <w:t>objektu</w:t>
            </w:r>
          </w:p>
          <w:p w14:paraId="07AC3EFB" w14:textId="22D3F647"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skaits</w:t>
            </w:r>
          </w:p>
        </w:tc>
        <w:tc>
          <w:tcPr>
            <w:tcW w:w="2484" w:type="dxa"/>
            <w:vAlign w:val="center"/>
          </w:tcPr>
          <w:p w14:paraId="75F8D1C9" w14:textId="77777777" w:rsidR="00D27E7D" w:rsidRPr="00C4538B" w:rsidRDefault="00D27E7D" w:rsidP="002236F7">
            <w:pPr>
              <w:rPr>
                <w:rFonts w:ascii="Times New Roman" w:hAnsi="Times New Roman" w:cs="Times New Roman"/>
                <w:sz w:val="24"/>
                <w:szCs w:val="24"/>
              </w:rPr>
            </w:pPr>
            <w:r w:rsidRPr="00C4538B">
              <w:rPr>
                <w:rFonts w:ascii="Times New Roman" w:hAnsi="Times New Roman" w:cs="Times New Roman"/>
                <w:sz w:val="24"/>
                <w:szCs w:val="24"/>
              </w:rPr>
              <w:t>VAS “Latvijas dzelzceļš”</w:t>
            </w:r>
          </w:p>
        </w:tc>
        <w:tc>
          <w:tcPr>
            <w:tcW w:w="1309" w:type="dxa"/>
            <w:vAlign w:val="center"/>
          </w:tcPr>
          <w:p w14:paraId="65950B78" w14:textId="79D4A4B0" w:rsidR="00D27E7D"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Augsta</w:t>
            </w:r>
          </w:p>
        </w:tc>
        <w:tc>
          <w:tcPr>
            <w:tcW w:w="1609" w:type="dxa"/>
            <w:vAlign w:val="center"/>
          </w:tcPr>
          <w:p w14:paraId="21E5F9C0" w14:textId="094BDCC6" w:rsidR="00D27E7D"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31.12.2021.</w:t>
            </w:r>
          </w:p>
        </w:tc>
      </w:tr>
      <w:tr w:rsidR="00032913" w:rsidRPr="00C4538B" w14:paraId="0C5B0565" w14:textId="77777777" w:rsidTr="002236F7">
        <w:tc>
          <w:tcPr>
            <w:tcW w:w="1964" w:type="dxa"/>
            <w:vMerge/>
            <w:vAlign w:val="center"/>
          </w:tcPr>
          <w:p w14:paraId="4FE94893" w14:textId="77777777" w:rsidR="00032913" w:rsidRPr="00032913" w:rsidRDefault="00032913" w:rsidP="002236F7">
            <w:pPr>
              <w:rPr>
                <w:rFonts w:ascii="Times New Roman" w:hAnsi="Times New Roman" w:cs="Times New Roman"/>
                <w:b/>
                <w:bCs/>
                <w:sz w:val="24"/>
                <w:szCs w:val="24"/>
              </w:rPr>
            </w:pPr>
          </w:p>
        </w:tc>
        <w:tc>
          <w:tcPr>
            <w:tcW w:w="1335" w:type="dxa"/>
            <w:vMerge/>
            <w:vAlign w:val="center"/>
          </w:tcPr>
          <w:p w14:paraId="43921EBF" w14:textId="77777777" w:rsidR="00032913" w:rsidRPr="00C4538B" w:rsidRDefault="00032913" w:rsidP="002236F7">
            <w:pPr>
              <w:rPr>
                <w:rFonts w:ascii="Times New Roman" w:hAnsi="Times New Roman" w:cs="Times New Roman"/>
                <w:sz w:val="24"/>
                <w:szCs w:val="24"/>
              </w:rPr>
            </w:pPr>
          </w:p>
        </w:tc>
        <w:tc>
          <w:tcPr>
            <w:tcW w:w="4491" w:type="dxa"/>
          </w:tcPr>
          <w:p w14:paraId="57B25C14" w14:textId="61197274" w:rsidR="00032913" w:rsidRPr="00C4538B" w:rsidRDefault="00647A83" w:rsidP="00032913">
            <w:pPr>
              <w:rPr>
                <w:rFonts w:ascii="Times New Roman" w:hAnsi="Times New Roman" w:cs="Times New Roman"/>
                <w:sz w:val="24"/>
                <w:szCs w:val="24"/>
              </w:rPr>
            </w:pPr>
            <w:r>
              <w:rPr>
                <w:rFonts w:ascii="Times New Roman" w:hAnsi="Times New Roman" w:cs="Times New Roman"/>
                <w:sz w:val="24"/>
                <w:szCs w:val="24"/>
              </w:rPr>
              <w:t>G</w:t>
            </w:r>
            <w:r w:rsidR="00032913" w:rsidRPr="00C4538B">
              <w:rPr>
                <w:rFonts w:ascii="Times New Roman" w:hAnsi="Times New Roman" w:cs="Times New Roman"/>
                <w:sz w:val="24"/>
                <w:szCs w:val="24"/>
              </w:rPr>
              <w:t>ājēju pāreju aprīkošana ar gaismas un skaņas signalizāciju</w:t>
            </w:r>
          </w:p>
        </w:tc>
        <w:tc>
          <w:tcPr>
            <w:tcW w:w="1203" w:type="dxa"/>
            <w:vAlign w:val="center"/>
          </w:tcPr>
          <w:p w14:paraId="000D0F9E" w14:textId="5E61F003" w:rsidR="00032913" w:rsidRDefault="00032913" w:rsidP="002236F7">
            <w:pPr>
              <w:rPr>
                <w:rFonts w:ascii="Times New Roman" w:hAnsi="Times New Roman" w:cs="Times New Roman"/>
                <w:sz w:val="24"/>
                <w:szCs w:val="24"/>
              </w:rPr>
            </w:pPr>
            <w:r>
              <w:rPr>
                <w:rFonts w:ascii="Times New Roman" w:hAnsi="Times New Roman" w:cs="Times New Roman"/>
                <w:sz w:val="24"/>
                <w:szCs w:val="24"/>
              </w:rPr>
              <w:t>objektu</w:t>
            </w:r>
          </w:p>
          <w:p w14:paraId="70834B2C" w14:textId="08F026CC"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skaits</w:t>
            </w:r>
          </w:p>
        </w:tc>
        <w:tc>
          <w:tcPr>
            <w:tcW w:w="2484" w:type="dxa"/>
            <w:vAlign w:val="center"/>
          </w:tcPr>
          <w:p w14:paraId="77E7C401" w14:textId="77777777" w:rsidR="00032913" w:rsidRPr="00C4538B" w:rsidRDefault="00032913" w:rsidP="002236F7">
            <w:pPr>
              <w:rPr>
                <w:rFonts w:ascii="Times New Roman" w:hAnsi="Times New Roman" w:cs="Times New Roman"/>
                <w:sz w:val="24"/>
                <w:szCs w:val="24"/>
              </w:rPr>
            </w:pPr>
            <w:r w:rsidRPr="00C4538B">
              <w:rPr>
                <w:rFonts w:ascii="Times New Roman" w:hAnsi="Times New Roman" w:cs="Times New Roman"/>
                <w:sz w:val="24"/>
                <w:szCs w:val="24"/>
              </w:rPr>
              <w:t>VAS “Latvijas dzelzceļš”</w:t>
            </w:r>
          </w:p>
        </w:tc>
        <w:tc>
          <w:tcPr>
            <w:tcW w:w="1309" w:type="dxa"/>
            <w:vAlign w:val="center"/>
          </w:tcPr>
          <w:p w14:paraId="11573F4B" w14:textId="40BCBC6D"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Augsta</w:t>
            </w:r>
          </w:p>
        </w:tc>
        <w:tc>
          <w:tcPr>
            <w:tcW w:w="1609" w:type="dxa"/>
            <w:vAlign w:val="center"/>
          </w:tcPr>
          <w:p w14:paraId="5B23ED7F" w14:textId="23957F7C" w:rsidR="00032913"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31.12.2021.</w:t>
            </w:r>
          </w:p>
        </w:tc>
      </w:tr>
      <w:tr w:rsidR="00032913" w:rsidRPr="00C4538B" w14:paraId="622556D4" w14:textId="77777777" w:rsidTr="002236F7">
        <w:tc>
          <w:tcPr>
            <w:tcW w:w="1964" w:type="dxa"/>
            <w:vMerge/>
            <w:vAlign w:val="center"/>
          </w:tcPr>
          <w:p w14:paraId="1AEAA885" w14:textId="77777777" w:rsidR="00032913" w:rsidRPr="00032913" w:rsidRDefault="00032913" w:rsidP="002236F7">
            <w:pPr>
              <w:rPr>
                <w:rFonts w:ascii="Times New Roman" w:hAnsi="Times New Roman" w:cs="Times New Roman"/>
                <w:b/>
                <w:bCs/>
                <w:sz w:val="24"/>
                <w:szCs w:val="24"/>
              </w:rPr>
            </w:pPr>
          </w:p>
        </w:tc>
        <w:tc>
          <w:tcPr>
            <w:tcW w:w="1335" w:type="dxa"/>
            <w:vMerge/>
            <w:vAlign w:val="center"/>
          </w:tcPr>
          <w:p w14:paraId="374FABF7" w14:textId="77777777" w:rsidR="00032913" w:rsidRPr="00C4538B" w:rsidRDefault="00032913" w:rsidP="002236F7">
            <w:pPr>
              <w:rPr>
                <w:rFonts w:ascii="Times New Roman" w:hAnsi="Times New Roman" w:cs="Times New Roman"/>
                <w:sz w:val="24"/>
                <w:szCs w:val="24"/>
              </w:rPr>
            </w:pPr>
          </w:p>
        </w:tc>
        <w:tc>
          <w:tcPr>
            <w:tcW w:w="4491" w:type="dxa"/>
          </w:tcPr>
          <w:p w14:paraId="0684FEAC" w14:textId="07285372" w:rsidR="00032913" w:rsidRPr="00C4538B" w:rsidRDefault="00647A83" w:rsidP="00032913">
            <w:pPr>
              <w:rPr>
                <w:rFonts w:ascii="Times New Roman" w:hAnsi="Times New Roman" w:cs="Times New Roman"/>
                <w:sz w:val="24"/>
                <w:szCs w:val="24"/>
              </w:rPr>
            </w:pPr>
            <w:r>
              <w:rPr>
                <w:rFonts w:ascii="Times New Roman" w:hAnsi="Times New Roman" w:cs="Times New Roman"/>
                <w:sz w:val="24"/>
                <w:szCs w:val="24"/>
              </w:rPr>
              <w:t>G</w:t>
            </w:r>
            <w:r w:rsidR="00032913" w:rsidRPr="00C4538B">
              <w:rPr>
                <w:rFonts w:ascii="Times New Roman" w:hAnsi="Times New Roman" w:cs="Times New Roman"/>
                <w:sz w:val="24"/>
                <w:szCs w:val="24"/>
              </w:rPr>
              <w:t>ājēju pāreju atjaunošana un jaunu</w:t>
            </w:r>
          </w:p>
          <w:p w14:paraId="372ABB17" w14:textId="77777777" w:rsidR="00032913" w:rsidRPr="00C4538B" w:rsidRDefault="00032913" w:rsidP="00032913">
            <w:pPr>
              <w:rPr>
                <w:rFonts w:ascii="Times New Roman" w:hAnsi="Times New Roman" w:cs="Times New Roman"/>
                <w:sz w:val="24"/>
                <w:szCs w:val="24"/>
              </w:rPr>
            </w:pPr>
            <w:r w:rsidRPr="00C4538B">
              <w:rPr>
                <w:rFonts w:ascii="Times New Roman" w:hAnsi="Times New Roman" w:cs="Times New Roman"/>
                <w:sz w:val="24"/>
                <w:szCs w:val="24"/>
              </w:rPr>
              <w:t>pāreju izveidošana</w:t>
            </w:r>
          </w:p>
        </w:tc>
        <w:tc>
          <w:tcPr>
            <w:tcW w:w="1203" w:type="dxa"/>
            <w:vAlign w:val="center"/>
          </w:tcPr>
          <w:p w14:paraId="6132B7B7" w14:textId="77777777" w:rsidR="00032913" w:rsidRDefault="00032913" w:rsidP="002236F7">
            <w:pPr>
              <w:rPr>
                <w:rFonts w:ascii="Times New Roman" w:hAnsi="Times New Roman" w:cs="Times New Roman"/>
                <w:sz w:val="24"/>
                <w:szCs w:val="24"/>
              </w:rPr>
            </w:pPr>
            <w:r>
              <w:rPr>
                <w:rFonts w:ascii="Times New Roman" w:hAnsi="Times New Roman" w:cs="Times New Roman"/>
                <w:sz w:val="24"/>
                <w:szCs w:val="24"/>
              </w:rPr>
              <w:t>objektu</w:t>
            </w:r>
          </w:p>
          <w:p w14:paraId="7D583A71" w14:textId="71BED7A5"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skaits</w:t>
            </w:r>
          </w:p>
        </w:tc>
        <w:tc>
          <w:tcPr>
            <w:tcW w:w="2484" w:type="dxa"/>
            <w:vAlign w:val="center"/>
          </w:tcPr>
          <w:p w14:paraId="3CC70021" w14:textId="77777777" w:rsidR="00032913" w:rsidRPr="00C4538B" w:rsidRDefault="00032913" w:rsidP="002236F7">
            <w:pPr>
              <w:rPr>
                <w:rFonts w:ascii="Times New Roman" w:hAnsi="Times New Roman" w:cs="Times New Roman"/>
                <w:sz w:val="24"/>
                <w:szCs w:val="24"/>
              </w:rPr>
            </w:pPr>
            <w:r w:rsidRPr="00C4538B">
              <w:rPr>
                <w:rFonts w:ascii="Times New Roman" w:hAnsi="Times New Roman" w:cs="Times New Roman"/>
                <w:sz w:val="24"/>
                <w:szCs w:val="24"/>
              </w:rPr>
              <w:t>VAS “Latvijas dzelzceļš”</w:t>
            </w:r>
          </w:p>
        </w:tc>
        <w:tc>
          <w:tcPr>
            <w:tcW w:w="1309" w:type="dxa"/>
            <w:vAlign w:val="center"/>
          </w:tcPr>
          <w:p w14:paraId="395CCE3A" w14:textId="311798B7"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Augsta</w:t>
            </w:r>
          </w:p>
        </w:tc>
        <w:tc>
          <w:tcPr>
            <w:tcW w:w="1609" w:type="dxa"/>
            <w:vAlign w:val="center"/>
          </w:tcPr>
          <w:p w14:paraId="3860518D" w14:textId="714A7E64" w:rsidR="00032913"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31.12.2021.</w:t>
            </w:r>
          </w:p>
        </w:tc>
      </w:tr>
      <w:tr w:rsidR="00032913" w:rsidRPr="00C4538B" w14:paraId="717B20DB" w14:textId="77777777" w:rsidTr="002236F7">
        <w:tc>
          <w:tcPr>
            <w:tcW w:w="1964" w:type="dxa"/>
            <w:vMerge/>
            <w:vAlign w:val="center"/>
          </w:tcPr>
          <w:p w14:paraId="4D80DD3B" w14:textId="77777777" w:rsidR="00032913" w:rsidRPr="00032913" w:rsidRDefault="00032913" w:rsidP="002236F7">
            <w:pPr>
              <w:rPr>
                <w:rFonts w:ascii="Times New Roman" w:hAnsi="Times New Roman" w:cs="Times New Roman"/>
                <w:b/>
                <w:bCs/>
                <w:sz w:val="24"/>
                <w:szCs w:val="24"/>
              </w:rPr>
            </w:pPr>
          </w:p>
        </w:tc>
        <w:tc>
          <w:tcPr>
            <w:tcW w:w="1335" w:type="dxa"/>
            <w:vMerge/>
            <w:vAlign w:val="center"/>
          </w:tcPr>
          <w:p w14:paraId="63B3EE95" w14:textId="77777777" w:rsidR="00032913" w:rsidRPr="00C4538B" w:rsidRDefault="00032913" w:rsidP="002236F7">
            <w:pPr>
              <w:rPr>
                <w:rFonts w:ascii="Times New Roman" w:hAnsi="Times New Roman" w:cs="Times New Roman"/>
                <w:sz w:val="24"/>
                <w:szCs w:val="24"/>
              </w:rPr>
            </w:pPr>
          </w:p>
        </w:tc>
        <w:tc>
          <w:tcPr>
            <w:tcW w:w="4491" w:type="dxa"/>
          </w:tcPr>
          <w:p w14:paraId="08D4B548" w14:textId="2FC3A4F8" w:rsidR="00032913" w:rsidRPr="00C4538B" w:rsidRDefault="00647A83" w:rsidP="00032913">
            <w:pPr>
              <w:rPr>
                <w:rFonts w:ascii="Times New Roman" w:hAnsi="Times New Roman" w:cs="Times New Roman"/>
                <w:sz w:val="24"/>
                <w:szCs w:val="24"/>
              </w:rPr>
            </w:pPr>
            <w:r>
              <w:rPr>
                <w:rFonts w:ascii="Times New Roman" w:hAnsi="Times New Roman" w:cs="Times New Roman"/>
                <w:sz w:val="24"/>
                <w:szCs w:val="24"/>
              </w:rPr>
              <w:t>N</w:t>
            </w:r>
            <w:r w:rsidR="00032913" w:rsidRPr="00C4538B">
              <w:rPr>
                <w:rFonts w:ascii="Times New Roman" w:hAnsi="Times New Roman" w:cs="Times New Roman"/>
                <w:sz w:val="24"/>
                <w:szCs w:val="24"/>
              </w:rPr>
              <w:t>ožogojuma  uzstādīšana vietās, kur ir intensīva satiksme</w:t>
            </w:r>
          </w:p>
        </w:tc>
        <w:tc>
          <w:tcPr>
            <w:tcW w:w="1203" w:type="dxa"/>
            <w:vAlign w:val="center"/>
          </w:tcPr>
          <w:p w14:paraId="633B34E4" w14:textId="5027FB86"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km</w:t>
            </w:r>
          </w:p>
        </w:tc>
        <w:tc>
          <w:tcPr>
            <w:tcW w:w="2484" w:type="dxa"/>
            <w:vAlign w:val="center"/>
          </w:tcPr>
          <w:p w14:paraId="7168EF55" w14:textId="77777777" w:rsidR="00032913" w:rsidRPr="00C4538B" w:rsidRDefault="00032913" w:rsidP="002236F7">
            <w:pPr>
              <w:rPr>
                <w:rFonts w:ascii="Times New Roman" w:hAnsi="Times New Roman" w:cs="Times New Roman"/>
                <w:sz w:val="24"/>
                <w:szCs w:val="24"/>
              </w:rPr>
            </w:pPr>
            <w:r w:rsidRPr="00C4538B">
              <w:rPr>
                <w:rFonts w:ascii="Times New Roman" w:hAnsi="Times New Roman" w:cs="Times New Roman"/>
                <w:sz w:val="24"/>
                <w:szCs w:val="24"/>
              </w:rPr>
              <w:t>VAS “Latvijas dzelzceļš”</w:t>
            </w:r>
          </w:p>
        </w:tc>
        <w:tc>
          <w:tcPr>
            <w:tcW w:w="1309" w:type="dxa"/>
            <w:vAlign w:val="center"/>
          </w:tcPr>
          <w:p w14:paraId="61B28E48" w14:textId="77777777" w:rsidR="00032913" w:rsidRPr="00C4538B" w:rsidRDefault="00032913" w:rsidP="002236F7">
            <w:pPr>
              <w:rPr>
                <w:rFonts w:ascii="Times New Roman" w:hAnsi="Times New Roman" w:cs="Times New Roman"/>
                <w:sz w:val="24"/>
                <w:szCs w:val="24"/>
              </w:rPr>
            </w:pPr>
            <w:r w:rsidRPr="00C4538B">
              <w:rPr>
                <w:rFonts w:ascii="Times New Roman" w:hAnsi="Times New Roman" w:cs="Times New Roman"/>
                <w:sz w:val="24"/>
                <w:szCs w:val="24"/>
              </w:rPr>
              <w:t>Augsta</w:t>
            </w:r>
          </w:p>
        </w:tc>
        <w:tc>
          <w:tcPr>
            <w:tcW w:w="1609" w:type="dxa"/>
            <w:vAlign w:val="center"/>
          </w:tcPr>
          <w:p w14:paraId="1A094A7B" w14:textId="77777777" w:rsidR="00032913"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31.12.2021.</w:t>
            </w:r>
          </w:p>
        </w:tc>
      </w:tr>
      <w:tr w:rsidR="00032913" w:rsidRPr="00C4538B" w14:paraId="7288D722" w14:textId="77777777" w:rsidTr="002236F7">
        <w:tc>
          <w:tcPr>
            <w:tcW w:w="1964" w:type="dxa"/>
            <w:vMerge w:val="restart"/>
            <w:vAlign w:val="center"/>
          </w:tcPr>
          <w:p w14:paraId="1BA8590A" w14:textId="77777777" w:rsidR="00032913" w:rsidRPr="00032913" w:rsidRDefault="00032913" w:rsidP="002236F7">
            <w:pPr>
              <w:rPr>
                <w:rFonts w:ascii="Times New Roman" w:hAnsi="Times New Roman" w:cs="Times New Roman"/>
                <w:b/>
                <w:bCs/>
                <w:sz w:val="24"/>
                <w:szCs w:val="24"/>
              </w:rPr>
            </w:pPr>
            <w:r w:rsidRPr="00032913">
              <w:rPr>
                <w:rFonts w:ascii="Times New Roman" w:hAnsi="Times New Roman" w:cs="Times New Roman"/>
                <w:b/>
                <w:bCs/>
                <w:sz w:val="24"/>
                <w:szCs w:val="24"/>
              </w:rPr>
              <w:t>Sabiedrība kopumā</w:t>
            </w:r>
          </w:p>
        </w:tc>
        <w:tc>
          <w:tcPr>
            <w:tcW w:w="1335" w:type="dxa"/>
            <w:vMerge w:val="restart"/>
            <w:vAlign w:val="center"/>
          </w:tcPr>
          <w:p w14:paraId="246C8244" w14:textId="77777777" w:rsidR="00032913" w:rsidRPr="00C4538B" w:rsidRDefault="00032913" w:rsidP="002236F7">
            <w:pPr>
              <w:rPr>
                <w:rFonts w:ascii="Times New Roman" w:hAnsi="Times New Roman" w:cs="Times New Roman"/>
                <w:sz w:val="24"/>
                <w:szCs w:val="24"/>
              </w:rPr>
            </w:pPr>
            <w:r w:rsidRPr="00C4538B">
              <w:rPr>
                <w:rFonts w:ascii="Times New Roman" w:hAnsi="Times New Roman" w:cs="Times New Roman"/>
                <w:sz w:val="24"/>
                <w:szCs w:val="24"/>
              </w:rPr>
              <w:t>Vidējs</w:t>
            </w:r>
          </w:p>
        </w:tc>
        <w:tc>
          <w:tcPr>
            <w:tcW w:w="4491" w:type="dxa"/>
          </w:tcPr>
          <w:p w14:paraId="71CE35EE" w14:textId="77777777" w:rsidR="00032913" w:rsidRPr="00C4538B" w:rsidRDefault="00032913" w:rsidP="00032913">
            <w:pPr>
              <w:rPr>
                <w:rFonts w:ascii="Times New Roman" w:hAnsi="Times New Roman" w:cs="Times New Roman"/>
                <w:sz w:val="24"/>
                <w:szCs w:val="24"/>
              </w:rPr>
            </w:pPr>
            <w:r w:rsidRPr="00C4538B">
              <w:rPr>
                <w:rFonts w:ascii="Times New Roman" w:hAnsi="Times New Roman" w:cs="Times New Roman"/>
                <w:sz w:val="24"/>
                <w:szCs w:val="24"/>
              </w:rPr>
              <w:t>Staciju modernizācija atbilstoši drošības prasībām</w:t>
            </w:r>
          </w:p>
        </w:tc>
        <w:tc>
          <w:tcPr>
            <w:tcW w:w="1203" w:type="dxa"/>
            <w:vAlign w:val="center"/>
          </w:tcPr>
          <w:p w14:paraId="2D7923AD" w14:textId="77777777" w:rsidR="00032913" w:rsidRDefault="00032913" w:rsidP="002236F7">
            <w:pPr>
              <w:rPr>
                <w:rFonts w:ascii="Times New Roman" w:hAnsi="Times New Roman" w:cs="Times New Roman"/>
                <w:sz w:val="24"/>
                <w:szCs w:val="24"/>
              </w:rPr>
            </w:pPr>
            <w:r>
              <w:rPr>
                <w:rFonts w:ascii="Times New Roman" w:hAnsi="Times New Roman" w:cs="Times New Roman"/>
                <w:sz w:val="24"/>
                <w:szCs w:val="24"/>
              </w:rPr>
              <w:t>objektu</w:t>
            </w:r>
          </w:p>
          <w:p w14:paraId="0EF7D364" w14:textId="1B5A6EA1"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skaits</w:t>
            </w:r>
          </w:p>
        </w:tc>
        <w:tc>
          <w:tcPr>
            <w:tcW w:w="2484" w:type="dxa"/>
            <w:vAlign w:val="center"/>
          </w:tcPr>
          <w:p w14:paraId="54755468" w14:textId="77777777" w:rsidR="00032913" w:rsidRPr="00C4538B" w:rsidRDefault="00032913" w:rsidP="002236F7">
            <w:pPr>
              <w:rPr>
                <w:rFonts w:ascii="Times New Roman" w:hAnsi="Times New Roman" w:cs="Times New Roman"/>
                <w:sz w:val="24"/>
                <w:szCs w:val="24"/>
              </w:rPr>
            </w:pPr>
            <w:r w:rsidRPr="00C4538B">
              <w:rPr>
                <w:rFonts w:ascii="Times New Roman" w:hAnsi="Times New Roman" w:cs="Times New Roman"/>
                <w:sz w:val="24"/>
                <w:szCs w:val="24"/>
              </w:rPr>
              <w:t>VAS “Latvijas dzelzceļš”</w:t>
            </w:r>
          </w:p>
        </w:tc>
        <w:tc>
          <w:tcPr>
            <w:tcW w:w="1309" w:type="dxa"/>
            <w:vAlign w:val="center"/>
          </w:tcPr>
          <w:p w14:paraId="3433F2A6" w14:textId="5D3FE2BF"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Vidēja</w:t>
            </w:r>
          </w:p>
        </w:tc>
        <w:tc>
          <w:tcPr>
            <w:tcW w:w="1609" w:type="dxa"/>
            <w:vAlign w:val="center"/>
          </w:tcPr>
          <w:p w14:paraId="47F08E1D" w14:textId="3ECC6355" w:rsidR="00032913"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31.12.2022.</w:t>
            </w:r>
          </w:p>
        </w:tc>
      </w:tr>
      <w:tr w:rsidR="00032913" w:rsidRPr="00C4538B" w14:paraId="6BCC462A" w14:textId="77777777" w:rsidTr="002236F7">
        <w:tc>
          <w:tcPr>
            <w:tcW w:w="1964" w:type="dxa"/>
            <w:vMerge/>
          </w:tcPr>
          <w:p w14:paraId="19F53F01" w14:textId="77777777" w:rsidR="00032913" w:rsidRPr="00C4538B" w:rsidRDefault="00032913" w:rsidP="00032913">
            <w:pPr>
              <w:rPr>
                <w:rFonts w:ascii="Times New Roman" w:hAnsi="Times New Roman" w:cs="Times New Roman"/>
                <w:sz w:val="24"/>
                <w:szCs w:val="24"/>
              </w:rPr>
            </w:pPr>
          </w:p>
        </w:tc>
        <w:tc>
          <w:tcPr>
            <w:tcW w:w="1335" w:type="dxa"/>
            <w:vMerge/>
          </w:tcPr>
          <w:p w14:paraId="707EBF75" w14:textId="76428DD5" w:rsidR="00032913" w:rsidRPr="00C4538B" w:rsidRDefault="00032913" w:rsidP="00032913">
            <w:pPr>
              <w:rPr>
                <w:rFonts w:ascii="Times New Roman" w:hAnsi="Times New Roman" w:cs="Times New Roman"/>
                <w:sz w:val="24"/>
                <w:szCs w:val="24"/>
              </w:rPr>
            </w:pPr>
          </w:p>
        </w:tc>
        <w:tc>
          <w:tcPr>
            <w:tcW w:w="4491" w:type="dxa"/>
          </w:tcPr>
          <w:p w14:paraId="4983F140" w14:textId="29FAE69A" w:rsidR="00032913" w:rsidRPr="00C4538B" w:rsidRDefault="00032913" w:rsidP="00032913">
            <w:pPr>
              <w:rPr>
                <w:rFonts w:ascii="Times New Roman" w:hAnsi="Times New Roman" w:cs="Times New Roman"/>
                <w:sz w:val="24"/>
                <w:szCs w:val="24"/>
              </w:rPr>
            </w:pPr>
            <w:r>
              <w:rPr>
                <w:rFonts w:ascii="Times New Roman" w:hAnsi="Times New Roman" w:cs="Times New Roman"/>
                <w:sz w:val="24"/>
                <w:szCs w:val="24"/>
              </w:rPr>
              <w:t xml:space="preserve">Informācijas kampaņa vilcienos </w:t>
            </w:r>
            <w:r w:rsidRPr="00C4538B">
              <w:rPr>
                <w:rFonts w:ascii="Times New Roman" w:hAnsi="Times New Roman" w:cs="Times New Roman"/>
                <w:sz w:val="24"/>
                <w:szCs w:val="24"/>
              </w:rPr>
              <w:t>par riskiem šķērsojot dzelzceļa sliežu ceļus izkāpjot no vilciena</w:t>
            </w:r>
          </w:p>
        </w:tc>
        <w:tc>
          <w:tcPr>
            <w:tcW w:w="1203" w:type="dxa"/>
            <w:vAlign w:val="center"/>
          </w:tcPr>
          <w:p w14:paraId="65CB06EE" w14:textId="20620008"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datums</w:t>
            </w:r>
          </w:p>
        </w:tc>
        <w:tc>
          <w:tcPr>
            <w:tcW w:w="2484" w:type="dxa"/>
            <w:vAlign w:val="center"/>
          </w:tcPr>
          <w:p w14:paraId="38D5BAC5" w14:textId="4E25CC5C" w:rsidR="00032913" w:rsidRPr="00C4538B" w:rsidRDefault="00032913" w:rsidP="002236F7">
            <w:pPr>
              <w:rPr>
                <w:rFonts w:ascii="Times New Roman" w:hAnsi="Times New Roman" w:cs="Times New Roman"/>
                <w:sz w:val="24"/>
                <w:szCs w:val="24"/>
              </w:rPr>
            </w:pPr>
            <w:r w:rsidRPr="00C4538B">
              <w:rPr>
                <w:rFonts w:ascii="Times New Roman" w:hAnsi="Times New Roman" w:cs="Times New Roman"/>
                <w:sz w:val="24"/>
                <w:szCs w:val="24"/>
              </w:rPr>
              <w:t>A/s “Pasažieru vilciens”</w:t>
            </w:r>
          </w:p>
        </w:tc>
        <w:tc>
          <w:tcPr>
            <w:tcW w:w="1309" w:type="dxa"/>
            <w:vAlign w:val="center"/>
          </w:tcPr>
          <w:p w14:paraId="7A6AD707" w14:textId="3FB3080A" w:rsidR="00032913" w:rsidRPr="00C4538B" w:rsidRDefault="00032913" w:rsidP="002236F7">
            <w:pPr>
              <w:rPr>
                <w:rFonts w:ascii="Times New Roman" w:hAnsi="Times New Roman" w:cs="Times New Roman"/>
                <w:sz w:val="24"/>
                <w:szCs w:val="24"/>
              </w:rPr>
            </w:pPr>
            <w:r>
              <w:rPr>
                <w:rFonts w:ascii="Times New Roman" w:hAnsi="Times New Roman" w:cs="Times New Roman"/>
                <w:sz w:val="24"/>
                <w:szCs w:val="24"/>
              </w:rPr>
              <w:t>V</w:t>
            </w:r>
            <w:r w:rsidRPr="00C4538B">
              <w:rPr>
                <w:rFonts w:ascii="Times New Roman" w:hAnsi="Times New Roman" w:cs="Times New Roman"/>
                <w:sz w:val="24"/>
                <w:szCs w:val="24"/>
              </w:rPr>
              <w:t>idēja</w:t>
            </w:r>
          </w:p>
        </w:tc>
        <w:tc>
          <w:tcPr>
            <w:tcW w:w="1609" w:type="dxa"/>
            <w:vAlign w:val="center"/>
          </w:tcPr>
          <w:p w14:paraId="6FC821F9" w14:textId="2A2D0F5F" w:rsidR="00032913" w:rsidRPr="002236F7" w:rsidRDefault="00032913" w:rsidP="002236F7">
            <w:pPr>
              <w:rPr>
                <w:rFonts w:ascii="Times New Roman" w:hAnsi="Times New Roman" w:cs="Times New Roman"/>
                <w:b/>
                <w:bCs/>
                <w:sz w:val="24"/>
                <w:szCs w:val="24"/>
              </w:rPr>
            </w:pPr>
            <w:r w:rsidRPr="002236F7">
              <w:rPr>
                <w:rFonts w:ascii="Times New Roman" w:hAnsi="Times New Roman" w:cs="Times New Roman"/>
                <w:b/>
                <w:bCs/>
                <w:sz w:val="24"/>
                <w:szCs w:val="24"/>
              </w:rPr>
              <w:t>0</w:t>
            </w:r>
            <w:r w:rsidR="00CB6BE2">
              <w:rPr>
                <w:rFonts w:ascii="Times New Roman" w:hAnsi="Times New Roman" w:cs="Times New Roman"/>
                <w:b/>
                <w:bCs/>
                <w:sz w:val="24"/>
                <w:szCs w:val="24"/>
              </w:rPr>
              <w:t>2</w:t>
            </w:r>
            <w:r w:rsidRPr="002236F7">
              <w:rPr>
                <w:rFonts w:ascii="Times New Roman" w:hAnsi="Times New Roman" w:cs="Times New Roman"/>
                <w:b/>
                <w:bCs/>
                <w:sz w:val="24"/>
                <w:szCs w:val="24"/>
              </w:rPr>
              <w:t>.07.2021.</w:t>
            </w:r>
          </w:p>
        </w:tc>
      </w:tr>
    </w:tbl>
    <w:p w14:paraId="15BCECDB" w14:textId="684E531B" w:rsidR="00E7450F" w:rsidRPr="00E7450F" w:rsidRDefault="00E7450F" w:rsidP="0008761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sectPr w:rsidR="00E7450F" w:rsidRPr="00E7450F" w:rsidSect="002C7399">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AC1B3" w14:textId="77777777" w:rsidR="003360B6" w:rsidRDefault="003360B6" w:rsidP="003360B6">
      <w:pPr>
        <w:spacing w:after="0" w:line="240" w:lineRule="auto"/>
      </w:pPr>
      <w:r>
        <w:separator/>
      </w:r>
    </w:p>
  </w:endnote>
  <w:endnote w:type="continuationSeparator" w:id="0">
    <w:p w14:paraId="7A09167B" w14:textId="77777777" w:rsidR="003360B6" w:rsidRDefault="003360B6" w:rsidP="00336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703CC" w14:textId="77777777" w:rsidR="003360B6" w:rsidRDefault="003360B6" w:rsidP="003360B6">
      <w:pPr>
        <w:spacing w:after="0" w:line="240" w:lineRule="auto"/>
      </w:pPr>
      <w:r>
        <w:separator/>
      </w:r>
    </w:p>
  </w:footnote>
  <w:footnote w:type="continuationSeparator" w:id="0">
    <w:p w14:paraId="1387D499" w14:textId="77777777" w:rsidR="003360B6" w:rsidRDefault="003360B6" w:rsidP="003360B6">
      <w:pPr>
        <w:spacing w:after="0" w:line="240" w:lineRule="auto"/>
      </w:pPr>
      <w:r>
        <w:continuationSeparator/>
      </w:r>
    </w:p>
  </w:footnote>
  <w:footnote w:id="1">
    <w:p w14:paraId="34F68416" w14:textId="77777777" w:rsidR="003360B6" w:rsidRPr="00CD2C8C" w:rsidRDefault="003360B6" w:rsidP="003360B6">
      <w:pPr>
        <w:pStyle w:val="Vresteksts"/>
        <w:rPr>
          <w:rFonts w:ascii="Calibri" w:hAnsi="Calibri" w:cs="Calibri"/>
          <w:sz w:val="20"/>
          <w:szCs w:val="20"/>
        </w:rPr>
      </w:pPr>
      <w:r w:rsidRPr="00CD2C8C">
        <w:rPr>
          <w:rStyle w:val="Vresatsauce"/>
          <w:rFonts w:ascii="Calibri" w:hAnsi="Calibri" w:cs="Calibri"/>
          <w:sz w:val="20"/>
          <w:szCs w:val="20"/>
        </w:rPr>
        <w:footnoteRef/>
      </w:r>
      <w:r w:rsidRPr="00CD2C8C">
        <w:rPr>
          <w:rFonts w:ascii="Calibri" w:hAnsi="Calibri" w:cs="Calibri"/>
          <w:sz w:val="20"/>
          <w:szCs w:val="20"/>
        </w:rPr>
        <w:t xml:space="preserve"> Komisijas lēmums Nr.2012/226/ES (2012.gada 23.aprīlis) par dzelzceļa sistēmas kopīgo drošības mērķu kopumu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336"/>
    <w:multiLevelType w:val="hybridMultilevel"/>
    <w:tmpl w:val="AA169E0E"/>
    <w:lvl w:ilvl="0" w:tplc="8E98BF94">
      <w:start w:val="2017"/>
      <w:numFmt w:val="bullet"/>
      <w:lvlText w:val="-"/>
      <w:lvlJc w:val="left"/>
      <w:pPr>
        <w:ind w:left="1140" w:hanging="360"/>
      </w:pPr>
      <w:rPr>
        <w:rFonts w:ascii="Garamond" w:eastAsiaTheme="minorEastAsia" w:hAnsi="Garamond" w:cstheme="minorBidi" w:hint="default"/>
      </w:rPr>
    </w:lvl>
    <w:lvl w:ilvl="1" w:tplc="8E98BF94">
      <w:start w:val="2017"/>
      <w:numFmt w:val="bullet"/>
      <w:lvlText w:val="-"/>
      <w:lvlJc w:val="left"/>
      <w:pPr>
        <w:ind w:left="1860" w:hanging="360"/>
      </w:pPr>
      <w:rPr>
        <w:rFonts w:ascii="Garamond" w:eastAsiaTheme="minorEastAsia" w:hAnsi="Garamond" w:cstheme="minorBidi"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 w15:restartNumberingAfterBreak="0">
    <w:nsid w:val="16A57F0D"/>
    <w:multiLevelType w:val="hybridMultilevel"/>
    <w:tmpl w:val="AF640946"/>
    <w:lvl w:ilvl="0" w:tplc="8E98BF94">
      <w:start w:val="2017"/>
      <w:numFmt w:val="bullet"/>
      <w:lvlText w:val="-"/>
      <w:lvlJc w:val="left"/>
      <w:pPr>
        <w:ind w:left="1140" w:hanging="360"/>
      </w:pPr>
      <w:rPr>
        <w:rFonts w:ascii="Garamond" w:eastAsiaTheme="minorEastAsia" w:hAnsi="Garamond"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94319D"/>
    <w:multiLevelType w:val="hybridMultilevel"/>
    <w:tmpl w:val="3F32AA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855281E"/>
    <w:multiLevelType w:val="hybridMultilevel"/>
    <w:tmpl w:val="376A6C7E"/>
    <w:lvl w:ilvl="0" w:tplc="55DEB188">
      <w:start w:val="2018"/>
      <w:numFmt w:val="bullet"/>
      <w:lvlText w:val="-"/>
      <w:lvlJc w:val="left"/>
      <w:pPr>
        <w:ind w:left="1125" w:hanging="360"/>
      </w:pPr>
      <w:rPr>
        <w:rFonts w:ascii="Calibri" w:eastAsiaTheme="minorEastAsia" w:hAnsi="Calibri" w:cs="Calibri" w:hint="default"/>
      </w:rPr>
    </w:lvl>
    <w:lvl w:ilvl="1" w:tplc="04260003" w:tentative="1">
      <w:start w:val="1"/>
      <w:numFmt w:val="bullet"/>
      <w:lvlText w:val="o"/>
      <w:lvlJc w:val="left"/>
      <w:pPr>
        <w:ind w:left="1845" w:hanging="360"/>
      </w:pPr>
      <w:rPr>
        <w:rFonts w:ascii="Courier New" w:hAnsi="Courier New" w:cs="Courier New" w:hint="default"/>
      </w:rPr>
    </w:lvl>
    <w:lvl w:ilvl="2" w:tplc="04260005" w:tentative="1">
      <w:start w:val="1"/>
      <w:numFmt w:val="bullet"/>
      <w:lvlText w:val=""/>
      <w:lvlJc w:val="left"/>
      <w:pPr>
        <w:ind w:left="2565" w:hanging="360"/>
      </w:pPr>
      <w:rPr>
        <w:rFonts w:ascii="Wingdings" w:hAnsi="Wingdings" w:hint="default"/>
      </w:rPr>
    </w:lvl>
    <w:lvl w:ilvl="3" w:tplc="04260001" w:tentative="1">
      <w:start w:val="1"/>
      <w:numFmt w:val="bullet"/>
      <w:lvlText w:val=""/>
      <w:lvlJc w:val="left"/>
      <w:pPr>
        <w:ind w:left="3285" w:hanging="360"/>
      </w:pPr>
      <w:rPr>
        <w:rFonts w:ascii="Symbol" w:hAnsi="Symbol" w:hint="default"/>
      </w:rPr>
    </w:lvl>
    <w:lvl w:ilvl="4" w:tplc="04260003" w:tentative="1">
      <w:start w:val="1"/>
      <w:numFmt w:val="bullet"/>
      <w:lvlText w:val="o"/>
      <w:lvlJc w:val="left"/>
      <w:pPr>
        <w:ind w:left="4005" w:hanging="360"/>
      </w:pPr>
      <w:rPr>
        <w:rFonts w:ascii="Courier New" w:hAnsi="Courier New" w:cs="Courier New" w:hint="default"/>
      </w:rPr>
    </w:lvl>
    <w:lvl w:ilvl="5" w:tplc="04260005" w:tentative="1">
      <w:start w:val="1"/>
      <w:numFmt w:val="bullet"/>
      <w:lvlText w:val=""/>
      <w:lvlJc w:val="left"/>
      <w:pPr>
        <w:ind w:left="4725" w:hanging="360"/>
      </w:pPr>
      <w:rPr>
        <w:rFonts w:ascii="Wingdings" w:hAnsi="Wingdings" w:hint="default"/>
      </w:rPr>
    </w:lvl>
    <w:lvl w:ilvl="6" w:tplc="04260001" w:tentative="1">
      <w:start w:val="1"/>
      <w:numFmt w:val="bullet"/>
      <w:lvlText w:val=""/>
      <w:lvlJc w:val="left"/>
      <w:pPr>
        <w:ind w:left="5445" w:hanging="360"/>
      </w:pPr>
      <w:rPr>
        <w:rFonts w:ascii="Symbol" w:hAnsi="Symbol" w:hint="default"/>
      </w:rPr>
    </w:lvl>
    <w:lvl w:ilvl="7" w:tplc="04260003" w:tentative="1">
      <w:start w:val="1"/>
      <w:numFmt w:val="bullet"/>
      <w:lvlText w:val="o"/>
      <w:lvlJc w:val="left"/>
      <w:pPr>
        <w:ind w:left="6165" w:hanging="360"/>
      </w:pPr>
      <w:rPr>
        <w:rFonts w:ascii="Courier New" w:hAnsi="Courier New" w:cs="Courier New" w:hint="default"/>
      </w:rPr>
    </w:lvl>
    <w:lvl w:ilvl="8" w:tplc="04260005" w:tentative="1">
      <w:start w:val="1"/>
      <w:numFmt w:val="bullet"/>
      <w:lvlText w:val=""/>
      <w:lvlJc w:val="left"/>
      <w:pPr>
        <w:ind w:left="6885"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DF"/>
    <w:rsid w:val="00020D1E"/>
    <w:rsid w:val="00032913"/>
    <w:rsid w:val="000672AA"/>
    <w:rsid w:val="00087618"/>
    <w:rsid w:val="000902B9"/>
    <w:rsid w:val="00161766"/>
    <w:rsid w:val="00175142"/>
    <w:rsid w:val="001918C2"/>
    <w:rsid w:val="001B24D2"/>
    <w:rsid w:val="001D3E6E"/>
    <w:rsid w:val="001E70BE"/>
    <w:rsid w:val="002236F7"/>
    <w:rsid w:val="00244E99"/>
    <w:rsid w:val="00247533"/>
    <w:rsid w:val="002837C6"/>
    <w:rsid w:val="002C7399"/>
    <w:rsid w:val="003112E4"/>
    <w:rsid w:val="00327C81"/>
    <w:rsid w:val="003360B6"/>
    <w:rsid w:val="00341457"/>
    <w:rsid w:val="004262E2"/>
    <w:rsid w:val="005048E2"/>
    <w:rsid w:val="005427DF"/>
    <w:rsid w:val="005973C0"/>
    <w:rsid w:val="005A2631"/>
    <w:rsid w:val="005F3498"/>
    <w:rsid w:val="00625ED9"/>
    <w:rsid w:val="00647A83"/>
    <w:rsid w:val="006B787B"/>
    <w:rsid w:val="00702D2C"/>
    <w:rsid w:val="00704881"/>
    <w:rsid w:val="008F1ACF"/>
    <w:rsid w:val="008F3E4E"/>
    <w:rsid w:val="00964B57"/>
    <w:rsid w:val="009B33FA"/>
    <w:rsid w:val="00A418EF"/>
    <w:rsid w:val="00A77CEB"/>
    <w:rsid w:val="00B155F5"/>
    <w:rsid w:val="00B34618"/>
    <w:rsid w:val="00B9582F"/>
    <w:rsid w:val="00C14062"/>
    <w:rsid w:val="00C35C76"/>
    <w:rsid w:val="00C4538B"/>
    <w:rsid w:val="00C833A3"/>
    <w:rsid w:val="00CB6BE2"/>
    <w:rsid w:val="00D13D6B"/>
    <w:rsid w:val="00D27E7D"/>
    <w:rsid w:val="00D514E9"/>
    <w:rsid w:val="00D5551A"/>
    <w:rsid w:val="00E7450F"/>
    <w:rsid w:val="00E81424"/>
    <w:rsid w:val="00F85D94"/>
    <w:rsid w:val="00F8728C"/>
    <w:rsid w:val="00FB6B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8C0E9"/>
  <w15:chartTrackingRefBased/>
  <w15:docId w15:val="{09E6B072-40F6-4186-A7B5-BF36FA6B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872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42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973C0"/>
    <w:pPr>
      <w:spacing w:after="0" w:line="240" w:lineRule="auto"/>
      <w:ind w:left="720"/>
      <w:contextualSpacing/>
    </w:pPr>
    <w:rPr>
      <w:rFonts w:ascii="Times New Roman" w:eastAsia="Times New Roman" w:hAnsi="Times New Roman" w:cs="Times New Roman"/>
      <w:sz w:val="24"/>
      <w:szCs w:val="24"/>
    </w:rPr>
  </w:style>
  <w:style w:type="character" w:customStyle="1" w:styleId="VrestekstsRakstz">
    <w:name w:val="Vēres teksts Rakstz."/>
    <w:basedOn w:val="Noklusjumarindkopasfonts"/>
    <w:link w:val="Vresteksts"/>
    <w:uiPriority w:val="99"/>
    <w:rsid w:val="003360B6"/>
    <w:rPr>
      <w:rFonts w:eastAsia="Calibri"/>
      <w:sz w:val="24"/>
      <w:szCs w:val="24"/>
      <w:lang w:eastAsia="lv-LV"/>
    </w:rPr>
  </w:style>
  <w:style w:type="paragraph" w:styleId="Vresteksts">
    <w:name w:val="footnote text"/>
    <w:basedOn w:val="Parasts"/>
    <w:link w:val="VrestekstsRakstz"/>
    <w:uiPriority w:val="99"/>
    <w:rsid w:val="003360B6"/>
    <w:pPr>
      <w:spacing w:after="0" w:line="240" w:lineRule="auto"/>
    </w:pPr>
    <w:rPr>
      <w:rFonts w:eastAsia="Calibri"/>
      <w:sz w:val="24"/>
      <w:szCs w:val="24"/>
      <w:lang w:eastAsia="lv-LV"/>
    </w:rPr>
  </w:style>
  <w:style w:type="character" w:customStyle="1" w:styleId="VrestekstsRakstz1">
    <w:name w:val="Vēres teksts Rakstz.1"/>
    <w:basedOn w:val="Noklusjumarindkopasfonts"/>
    <w:uiPriority w:val="99"/>
    <w:semiHidden/>
    <w:rsid w:val="003360B6"/>
    <w:rPr>
      <w:sz w:val="20"/>
      <w:szCs w:val="20"/>
    </w:rPr>
  </w:style>
  <w:style w:type="character" w:styleId="Vresatsauce">
    <w:name w:val="footnote reference"/>
    <w:basedOn w:val="Noklusjumarindkopasfonts"/>
    <w:uiPriority w:val="99"/>
    <w:semiHidden/>
    <w:unhideWhenUsed/>
    <w:rsid w:val="003360B6"/>
    <w:rPr>
      <w:vertAlign w:val="superscript"/>
    </w:rPr>
  </w:style>
  <w:style w:type="paragraph" w:styleId="Paraststmeklis">
    <w:name w:val="Normal (Web)"/>
    <w:basedOn w:val="Parasts"/>
    <w:uiPriority w:val="99"/>
    <w:rsid w:val="003360B6"/>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Pamatteksts">
    <w:name w:val="Body Text"/>
    <w:basedOn w:val="Parasts"/>
    <w:link w:val="PamattekstsRakstz"/>
    <w:semiHidden/>
    <w:rsid w:val="003360B6"/>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basedOn w:val="Noklusjumarindkopasfonts"/>
    <w:link w:val="Pamatteksts"/>
    <w:semiHidden/>
    <w:rsid w:val="003360B6"/>
    <w:rPr>
      <w:rFonts w:ascii="Times New Roman" w:eastAsia="Times New Roman" w:hAnsi="Times New Roman" w:cs="Times New Roman"/>
      <w:sz w:val="24"/>
      <w:szCs w:val="24"/>
      <w:lang w:eastAsia="lv-LV"/>
    </w:rPr>
  </w:style>
  <w:style w:type="paragraph" w:styleId="Galvene">
    <w:name w:val="header"/>
    <w:basedOn w:val="Parasts"/>
    <w:link w:val="GalveneRakstz"/>
    <w:rsid w:val="00C14062"/>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rsid w:val="00C14062"/>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FB6BB1"/>
    <w:rPr>
      <w:color w:val="0000FF" w:themeColor="hyperlink"/>
      <w:u w:val="single"/>
    </w:rPr>
  </w:style>
  <w:style w:type="character" w:styleId="Neatrisintapieminana">
    <w:name w:val="Unresolved Mention"/>
    <w:basedOn w:val="Noklusjumarindkopasfonts"/>
    <w:uiPriority w:val="99"/>
    <w:semiHidden/>
    <w:unhideWhenUsed/>
    <w:rsid w:val="00FB6BB1"/>
    <w:rPr>
      <w:color w:val="605E5C"/>
      <w:shd w:val="clear" w:color="auto" w:fill="E1DFDD"/>
    </w:rPr>
  </w:style>
  <w:style w:type="character" w:customStyle="1" w:styleId="Virsraksts1Rakstz">
    <w:name w:val="Virsraksts 1 Rakstz."/>
    <w:basedOn w:val="Noklusjumarindkopasfonts"/>
    <w:link w:val="Virsraksts1"/>
    <w:uiPriority w:val="9"/>
    <w:rsid w:val="00F8728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indas%20komandejuma\Dropbox\VDzTI\Publ_parskats\Dati_negadijumi_analize_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gailite\Dropbox\VDzTI\Publ_parskats\Dati_negadijumi_analize_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lv-LV" sz="1000" b="1">
                <a:solidFill>
                  <a:sysClr val="windowText" lastClr="000000"/>
                </a:solidFill>
                <a:latin typeface="Times New Roman" panose="02020603050405020304" pitchFamily="18" charset="0"/>
                <a:cs typeface="Times New Roman" panose="02020603050405020304" pitchFamily="18" charset="0"/>
              </a:rPr>
              <a:t>1.attēls. Relatīvais</a:t>
            </a:r>
            <a:r>
              <a:rPr lang="lv-LV" sz="1000" b="1" baseline="0">
                <a:solidFill>
                  <a:sysClr val="windowText" lastClr="000000"/>
                </a:solidFill>
                <a:latin typeface="Times New Roman" panose="02020603050405020304" pitchFamily="18" charset="0"/>
                <a:cs typeface="Times New Roman" panose="02020603050405020304" pitchFamily="18" charset="0"/>
              </a:rPr>
              <a:t> negadījumu skaits uz milj.vkm.</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77904636194334631"/>
          <c:y val="0.91134779171641878"/>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6.5022148222341689E-2"/>
          <c:y val="3.4541891746521239E-2"/>
          <c:w val="0.91958037912350066"/>
          <c:h val="0.76500465777264337"/>
        </c:manualLayout>
      </c:layout>
      <c:lineChart>
        <c:grouping val="standard"/>
        <c:varyColors val="0"/>
        <c:ser>
          <c:idx val="0"/>
          <c:order val="0"/>
          <c:tx>
            <c:strRef>
              <c:f>Sheet1!$B$44</c:f>
              <c:strCache>
                <c:ptCount val="1"/>
                <c:pt idx="0">
                  <c:v>Negadījumi</c:v>
                </c:pt>
              </c:strCache>
            </c:strRef>
          </c:tx>
          <c:spPr>
            <a:ln w="28575" cap="rnd">
              <a:solidFill>
                <a:srgbClr val="C00000"/>
              </a:solidFill>
              <a:round/>
            </a:ln>
            <a:effectLst/>
          </c:spPr>
          <c:marker>
            <c:symbol val="none"/>
          </c:marker>
          <c:trendline>
            <c:spPr>
              <a:ln w="19050" cap="rnd">
                <a:solidFill>
                  <a:srgbClr val="C00000"/>
                </a:solidFill>
                <a:prstDash val="sysDot"/>
              </a:ln>
              <a:effectLst/>
            </c:spPr>
            <c:trendlineType val="log"/>
            <c:dispRSqr val="0"/>
            <c:dispEq val="0"/>
          </c:trendline>
          <c:cat>
            <c:numRef>
              <c:f>Sheet1!$D$43:$S$43</c:f>
              <c:numCache>
                <c:formatCode>General</c:formatCode>
                <c:ptCount val="16"/>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numCache>
            </c:numRef>
          </c:cat>
          <c:val>
            <c:numRef>
              <c:f>Sheet1!$D$44:$S$44</c:f>
              <c:numCache>
                <c:formatCode>0.000</c:formatCode>
                <c:ptCount val="16"/>
                <c:pt idx="0">
                  <c:v>3.808901947981282</c:v>
                </c:pt>
                <c:pt idx="1">
                  <c:v>3.1015344433561869</c:v>
                </c:pt>
                <c:pt idx="2">
                  <c:v>3.4280117531831538</c:v>
                </c:pt>
                <c:pt idx="3">
                  <c:v>2.7750571335292196</c:v>
                </c:pt>
                <c:pt idx="4">
                  <c:v>3.3191859832408315</c:v>
                </c:pt>
                <c:pt idx="5">
                  <c:v>1.6867994341059962</c:v>
                </c:pt>
                <c:pt idx="6">
                  <c:v>2.2309282838176081</c:v>
                </c:pt>
                <c:pt idx="7">
                  <c:v>1.904450973990641</c:v>
                </c:pt>
                <c:pt idx="8">
                  <c:v>1.3603221242790293</c:v>
                </c:pt>
                <c:pt idx="9">
                  <c:v>1.4147350092501905</c:v>
                </c:pt>
                <c:pt idx="10">
                  <c:v>1.1970834693655457</c:v>
                </c:pt>
                <c:pt idx="11">
                  <c:v>1.3603221242790293</c:v>
                </c:pt>
                <c:pt idx="12">
                  <c:v>0.97943192948090108</c:v>
                </c:pt>
                <c:pt idx="13">
                  <c:v>1.3059092393078682</c:v>
                </c:pt>
                <c:pt idx="14">
                  <c:v>1.0882576994232234</c:v>
                </c:pt>
                <c:pt idx="15">
                  <c:v>1.0338448144520622</c:v>
                </c:pt>
              </c:numCache>
            </c:numRef>
          </c:val>
          <c:smooth val="1"/>
          <c:extLst>
            <c:ext xmlns:c16="http://schemas.microsoft.com/office/drawing/2014/chart" uri="{C3380CC4-5D6E-409C-BE32-E72D297353CC}">
              <c16:uniqueId val="{00000001-FB01-4F7B-9F32-800DFC54A28C}"/>
            </c:ext>
          </c:extLst>
        </c:ser>
        <c:dLbls>
          <c:showLegendKey val="0"/>
          <c:showVal val="0"/>
          <c:showCatName val="0"/>
          <c:showSerName val="0"/>
          <c:showPercent val="0"/>
          <c:showBubbleSize val="0"/>
        </c:dLbls>
        <c:smooth val="0"/>
        <c:axId val="1400346688"/>
        <c:axId val="1400344512"/>
      </c:lineChart>
      <c:catAx>
        <c:axId val="140034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4512"/>
        <c:crosses val="autoZero"/>
        <c:auto val="1"/>
        <c:lblAlgn val="ctr"/>
        <c:lblOffset val="100"/>
        <c:noMultiLvlLbl val="0"/>
      </c:catAx>
      <c:valAx>
        <c:axId val="1400344512"/>
        <c:scaling>
          <c:orientation val="minMax"/>
          <c:max val="5.5"/>
          <c:min val="0"/>
        </c:scaling>
        <c:delete val="0"/>
        <c:axPos val="l"/>
        <c:majorGridlines>
          <c:spPr>
            <a:ln w="9525" cap="flat" cmpd="sng" algn="ctr">
              <a:solidFill>
                <a:schemeClr val="tx1">
                  <a:lumMod val="15000"/>
                  <a:lumOff val="85000"/>
                </a:schemeClr>
              </a:solidFill>
              <a:round/>
            </a:ln>
            <a:effectLst/>
          </c:spPr>
        </c:majorGridlines>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46688"/>
        <c:crosses val="autoZero"/>
        <c:crossBetween val="between"/>
      </c:valAx>
      <c:spPr>
        <a:noFill/>
        <a:ln>
          <a:noFill/>
        </a:ln>
        <a:effectLst/>
      </c:spPr>
    </c:plotArea>
    <c:legend>
      <c:legendPos val="t"/>
      <c:layout>
        <c:manualLayout>
          <c:xMode val="edge"/>
          <c:yMode val="edge"/>
          <c:x val="5.9116541967523778E-2"/>
          <c:y val="0.91736460153522614"/>
          <c:w val="0.43344455101443918"/>
          <c:h val="7.230901023427871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r>
              <a:rPr lang="lv-LV" sz="1000" b="1">
                <a:solidFill>
                  <a:sysClr val="windowText" lastClr="000000"/>
                </a:solidFill>
                <a:latin typeface="Times New Roman" panose="02020603050405020304" pitchFamily="18" charset="0"/>
                <a:cs typeface="Times New Roman" panose="02020603050405020304" pitchFamily="18" charset="0"/>
              </a:rPr>
              <a:t>2.attēls. Cietušo</a:t>
            </a:r>
            <a:r>
              <a:rPr lang="lv-LV" sz="1000" b="1" baseline="0">
                <a:solidFill>
                  <a:sysClr val="windowText" lastClr="000000"/>
                </a:solidFill>
                <a:latin typeface="Times New Roman" panose="02020603050405020304" pitchFamily="18" charset="0"/>
                <a:cs typeface="Times New Roman" panose="02020603050405020304" pitchFamily="18" charset="0"/>
              </a:rPr>
              <a:t> skaits sadalījumā pa cietušo kategorijām (2004-2019)</a:t>
            </a:r>
            <a:endParaRPr lang="lv-LV" sz="10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7294340149927302"/>
          <c:y val="0.90277777777777779"/>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n-lt"/>
              <a:ea typeface="+mn-ea"/>
              <a:cs typeface="+mn-cs"/>
            </a:defRPr>
          </a:pPr>
          <a:endParaRPr lang="lv-LV"/>
        </a:p>
      </c:txPr>
    </c:title>
    <c:autoTitleDeleted val="0"/>
    <c:plotArea>
      <c:layout>
        <c:manualLayout>
          <c:layoutTarget val="inner"/>
          <c:xMode val="edge"/>
          <c:yMode val="edge"/>
          <c:x val="0.22830612360505295"/>
          <c:y val="6.0601851851851872E-2"/>
          <c:w val="0.74706078286976718"/>
          <c:h val="0.72088764946048411"/>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tx1">
                  <a:lumMod val="65000"/>
                  <a:lumOff val="35000"/>
                </a:schemeClr>
              </a:solidFill>
              <a:ln>
                <a:noFill/>
              </a:ln>
              <a:effectLst/>
            </c:spPr>
            <c:extLst>
              <c:ext xmlns:c16="http://schemas.microsoft.com/office/drawing/2014/chart" uri="{C3380CC4-5D6E-409C-BE32-E72D297353CC}">
                <c16:uniqueId val="{00000001-8D52-4D1B-B2FD-C463C87870DF}"/>
              </c:ext>
            </c:extLst>
          </c:dPt>
          <c:dPt>
            <c:idx val="1"/>
            <c:invertIfNegative val="0"/>
            <c:bubble3D val="0"/>
            <c:spPr>
              <a:solidFill>
                <a:schemeClr val="bg1">
                  <a:lumMod val="50000"/>
                </a:schemeClr>
              </a:solidFill>
              <a:ln>
                <a:noFill/>
              </a:ln>
              <a:effectLst/>
            </c:spPr>
            <c:extLst>
              <c:ext xmlns:c16="http://schemas.microsoft.com/office/drawing/2014/chart" uri="{C3380CC4-5D6E-409C-BE32-E72D297353CC}">
                <c16:uniqueId val="{00000003-8D52-4D1B-B2FD-C463C87870DF}"/>
              </c:ext>
            </c:extLst>
          </c:dPt>
          <c:dPt>
            <c:idx val="2"/>
            <c:invertIfNegative val="0"/>
            <c:bubble3D val="0"/>
            <c:spPr>
              <a:solidFill>
                <a:schemeClr val="bg1">
                  <a:lumMod val="65000"/>
                </a:schemeClr>
              </a:solidFill>
              <a:ln>
                <a:noFill/>
              </a:ln>
              <a:effectLst/>
            </c:spPr>
            <c:extLst>
              <c:ext xmlns:c16="http://schemas.microsoft.com/office/drawing/2014/chart" uri="{C3380CC4-5D6E-409C-BE32-E72D297353CC}">
                <c16:uniqueId val="{00000005-8D52-4D1B-B2FD-C463C87870DF}"/>
              </c:ext>
            </c:extLst>
          </c:dPt>
          <c:dPt>
            <c:idx val="3"/>
            <c:invertIfNegative val="0"/>
            <c:bubble3D val="0"/>
            <c:spPr>
              <a:solidFill>
                <a:schemeClr val="bg1">
                  <a:lumMod val="75000"/>
                </a:schemeClr>
              </a:solidFill>
              <a:ln>
                <a:noFill/>
              </a:ln>
              <a:effectLst/>
            </c:spPr>
            <c:extLst>
              <c:ext xmlns:c16="http://schemas.microsoft.com/office/drawing/2014/chart" uri="{C3380CC4-5D6E-409C-BE32-E72D297353CC}">
                <c16:uniqueId val="{00000007-8D52-4D1B-B2FD-C463C87870DF}"/>
              </c:ext>
            </c:extLst>
          </c:dPt>
          <c:dPt>
            <c:idx val="4"/>
            <c:invertIfNegative val="0"/>
            <c:bubble3D val="0"/>
            <c:spPr>
              <a:solidFill>
                <a:schemeClr val="bg1">
                  <a:lumMod val="85000"/>
                </a:schemeClr>
              </a:solidFill>
              <a:ln>
                <a:noFill/>
              </a:ln>
              <a:effectLst/>
            </c:spPr>
            <c:extLst>
              <c:ext xmlns:c16="http://schemas.microsoft.com/office/drawing/2014/chart" uri="{C3380CC4-5D6E-409C-BE32-E72D297353CC}">
                <c16:uniqueId val="{00000009-8D52-4D1B-B2FD-C463C87870DF}"/>
              </c:ext>
            </c:extLst>
          </c:dPt>
          <c:dPt>
            <c:idx val="5"/>
            <c:invertIfNegative val="0"/>
            <c:bubble3D val="0"/>
            <c:spPr>
              <a:solidFill>
                <a:schemeClr val="bg1">
                  <a:lumMod val="95000"/>
                </a:schemeClr>
              </a:solidFill>
              <a:ln>
                <a:noFill/>
              </a:ln>
              <a:effectLst/>
            </c:spPr>
            <c:extLst>
              <c:ext xmlns:c16="http://schemas.microsoft.com/office/drawing/2014/chart" uri="{C3380CC4-5D6E-409C-BE32-E72D297353CC}">
                <c16:uniqueId val="{0000000B-8D52-4D1B-B2FD-C463C87870DF}"/>
              </c:ext>
            </c:extLst>
          </c:dPt>
          <c:dLbls>
            <c:dLbl>
              <c:idx val="0"/>
              <c:tx>
                <c:rich>
                  <a:bodyPr/>
                  <a:lstStyle/>
                  <a:p>
                    <a:fld id="{1AAB62E4-5097-488E-8A2D-4F98C9CEC7D8}" type="VALUE">
                      <a:rPr lang="en-US">
                        <a:solidFill>
                          <a:schemeClr val="bg1"/>
                        </a:solidFill>
                      </a:rPr>
                      <a:pPr/>
                      <a:t>[VĒRTĪBA]</a:t>
                    </a:fld>
                    <a:endParaRPr lang="lv-LV"/>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D52-4D1B-B2FD-C463C87870DF}"/>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3-8D52-4D1B-B2FD-C463C87870DF}"/>
                </c:ext>
              </c:extLst>
            </c:dLbl>
            <c:dLbl>
              <c:idx val="3"/>
              <c:tx>
                <c:rich>
                  <a:bodyPr/>
                  <a:lstStyle/>
                  <a:p>
                    <a:r>
                      <a:rPr lang="en-US"/>
                      <a:t>288</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D52-4D1B-B2FD-C463C87870D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Sheet1!$A$151:$A$156</c:f>
              <c:strCache>
                <c:ptCount val="6"/>
                <c:pt idx="0">
                  <c:v>pasažieris</c:v>
                </c:pt>
                <c:pt idx="1">
                  <c:v>nodarbinātais</c:v>
                </c:pt>
                <c:pt idx="2">
                  <c:v>pārbrauktuves lietotājs</c:v>
                </c:pt>
                <c:pt idx="3">
                  <c:v>noteikumu pārkāpējs</c:v>
                </c:pt>
                <c:pt idx="4">
                  <c:v>cita persona ārpus platformas</c:v>
                </c:pt>
                <c:pt idx="5">
                  <c:v>cita persona uz platformas</c:v>
                </c:pt>
              </c:strCache>
            </c:strRef>
          </c:cat>
          <c:val>
            <c:numRef>
              <c:f>Sheet1!$B$151:$B$156</c:f>
              <c:numCache>
                <c:formatCode>General</c:formatCode>
                <c:ptCount val="6"/>
                <c:pt idx="0">
                  <c:v>16</c:v>
                </c:pt>
                <c:pt idx="1">
                  <c:v>27</c:v>
                </c:pt>
                <c:pt idx="2">
                  <c:v>164</c:v>
                </c:pt>
                <c:pt idx="3">
                  <c:v>287</c:v>
                </c:pt>
                <c:pt idx="4">
                  <c:v>40</c:v>
                </c:pt>
                <c:pt idx="5">
                  <c:v>49</c:v>
                </c:pt>
              </c:numCache>
            </c:numRef>
          </c:val>
          <c:extLst>
            <c:ext xmlns:c16="http://schemas.microsoft.com/office/drawing/2014/chart" uri="{C3380CC4-5D6E-409C-BE32-E72D297353CC}">
              <c16:uniqueId val="{0000000C-8D52-4D1B-B2FD-C463C87870DF}"/>
            </c:ext>
          </c:extLst>
        </c:ser>
        <c:dLbls>
          <c:showLegendKey val="0"/>
          <c:showVal val="0"/>
          <c:showCatName val="0"/>
          <c:showSerName val="0"/>
          <c:showPercent val="0"/>
          <c:showBubbleSize val="0"/>
        </c:dLbls>
        <c:gapWidth val="22"/>
        <c:overlap val="-70"/>
        <c:axId val="1400337984"/>
        <c:axId val="1400340704"/>
      </c:barChart>
      <c:catAx>
        <c:axId val="14003379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1400340704"/>
        <c:crosses val="autoZero"/>
        <c:auto val="1"/>
        <c:lblAlgn val="ctr"/>
        <c:lblOffset val="100"/>
        <c:noMultiLvlLbl val="0"/>
      </c:catAx>
      <c:valAx>
        <c:axId val="1400340704"/>
        <c:scaling>
          <c:orientation val="minMax"/>
          <c:max val="30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4003379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5828</Words>
  <Characters>3322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Lindas komandejuma</dc:creator>
  <cp:keywords/>
  <dc:description/>
  <cp:lastModifiedBy>Lindas komandejuma</cp:lastModifiedBy>
  <cp:revision>46</cp:revision>
  <dcterms:created xsi:type="dcterms:W3CDTF">2021-01-13T16:07:00Z</dcterms:created>
  <dcterms:modified xsi:type="dcterms:W3CDTF">2021-01-27T14:13:00Z</dcterms:modified>
</cp:coreProperties>
</file>